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793F" w14:textId="77777777" w:rsidR="003903B0" w:rsidRPr="000F4A33" w:rsidRDefault="003903B0" w:rsidP="003903B0">
      <w:pPr>
        <w:spacing w:line="360" w:lineRule="auto"/>
        <w:jc w:val="center"/>
        <w:rPr>
          <w:b/>
          <w:lang w:val="en-GB"/>
        </w:rPr>
      </w:pPr>
      <w:r w:rsidRPr="000F4A33">
        <w:rPr>
          <w:noProof/>
          <w:lang w:val="en-TT" w:eastAsia="en-TT"/>
        </w:rPr>
        <w:drawing>
          <wp:inline distT="0" distB="0" distL="0" distR="0" wp14:anchorId="0B253649" wp14:editId="5C3E8728">
            <wp:extent cx="1016000" cy="994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405" cy="1008712"/>
                    </a:xfrm>
                    <a:prstGeom prst="rect">
                      <a:avLst/>
                    </a:prstGeom>
                    <a:noFill/>
                  </pic:spPr>
                </pic:pic>
              </a:graphicData>
            </a:graphic>
          </wp:inline>
        </w:drawing>
      </w:r>
    </w:p>
    <w:p w14:paraId="3F6B4FFC" w14:textId="056E867A" w:rsidR="003903B0" w:rsidRDefault="003903B0" w:rsidP="003903B0">
      <w:pPr>
        <w:spacing w:line="360" w:lineRule="auto"/>
        <w:rPr>
          <w:b/>
          <w:lang w:val="en-GB"/>
        </w:rPr>
      </w:pPr>
    </w:p>
    <w:p w14:paraId="7C29A8E5" w14:textId="77777777" w:rsidR="007804BC" w:rsidRPr="000F4A33" w:rsidRDefault="007804BC" w:rsidP="003903B0">
      <w:pPr>
        <w:spacing w:line="360" w:lineRule="auto"/>
        <w:rPr>
          <w:b/>
          <w:lang w:val="en-GB"/>
        </w:rPr>
      </w:pPr>
    </w:p>
    <w:p w14:paraId="12E8582E" w14:textId="77777777" w:rsidR="003903B0" w:rsidRPr="000F4A33" w:rsidRDefault="003903B0" w:rsidP="003903B0">
      <w:pPr>
        <w:spacing w:line="360" w:lineRule="auto"/>
        <w:jc w:val="center"/>
        <w:rPr>
          <w:b/>
          <w:lang w:val="en-GB"/>
        </w:rPr>
      </w:pPr>
      <w:r w:rsidRPr="000F4A33">
        <w:rPr>
          <w:b/>
          <w:lang w:val="en-GB"/>
        </w:rPr>
        <w:t>TRINIDAD AND TOBAGO SECURITIES AND EXCHANGE COMMISSION</w:t>
      </w:r>
    </w:p>
    <w:p w14:paraId="768BAA2F" w14:textId="77777777" w:rsidR="003903B0" w:rsidRPr="000F4A33" w:rsidRDefault="003903B0" w:rsidP="003903B0">
      <w:pPr>
        <w:spacing w:line="360" w:lineRule="auto"/>
        <w:jc w:val="center"/>
        <w:rPr>
          <w:b/>
          <w:lang w:val="en-GB"/>
        </w:rPr>
      </w:pPr>
    </w:p>
    <w:p w14:paraId="670CC63B" w14:textId="77777777" w:rsidR="003903B0" w:rsidRPr="00C34156" w:rsidRDefault="005509E9" w:rsidP="003903B0">
      <w:pPr>
        <w:pStyle w:val="Default"/>
        <w:spacing w:line="360" w:lineRule="auto"/>
        <w:jc w:val="center"/>
        <w:rPr>
          <w:b/>
        </w:rPr>
      </w:pPr>
      <w:r w:rsidRPr="00C34156">
        <w:rPr>
          <w:b/>
        </w:rPr>
        <w:t>In The Matter of Sections 6</w:t>
      </w:r>
      <w:r w:rsidR="003903B0" w:rsidRPr="00C34156">
        <w:rPr>
          <w:b/>
        </w:rPr>
        <w:t xml:space="preserve">1(1) </w:t>
      </w:r>
      <w:r w:rsidRPr="00C34156">
        <w:rPr>
          <w:b/>
        </w:rPr>
        <w:t>62(1)</w:t>
      </w:r>
      <w:r w:rsidR="003903B0" w:rsidRPr="00C34156">
        <w:rPr>
          <w:b/>
        </w:rPr>
        <w:t>, 155(1A) (c) and 159(10) of the Securities Act</w:t>
      </w:r>
      <w:r w:rsidR="008015D8" w:rsidRPr="00C34156">
        <w:rPr>
          <w:b/>
        </w:rPr>
        <w:t>,</w:t>
      </w:r>
      <w:r w:rsidR="003903B0" w:rsidRPr="00C34156">
        <w:rPr>
          <w:b/>
        </w:rPr>
        <w:t xml:space="preserve"> Chapter 83:02 of the Laws of the Republic of Trinidad and Tobago </w:t>
      </w:r>
      <w:r w:rsidR="00B544A3" w:rsidRPr="00C34156">
        <w:rPr>
          <w:b/>
        </w:rPr>
        <w:t>(</w:t>
      </w:r>
      <w:r w:rsidR="00B01551" w:rsidRPr="00C34156">
        <w:rPr>
          <w:b/>
        </w:rPr>
        <w:t xml:space="preserve">the </w:t>
      </w:r>
      <w:r w:rsidR="00B544A3" w:rsidRPr="00C34156">
        <w:rPr>
          <w:b/>
        </w:rPr>
        <w:t>“Act”)</w:t>
      </w:r>
    </w:p>
    <w:p w14:paraId="701DBAB2" w14:textId="77777777" w:rsidR="008015D8" w:rsidRPr="00C34156" w:rsidRDefault="008015D8" w:rsidP="003903B0">
      <w:pPr>
        <w:pStyle w:val="Default"/>
        <w:spacing w:line="360" w:lineRule="auto"/>
        <w:jc w:val="center"/>
        <w:rPr>
          <w:b/>
        </w:rPr>
      </w:pPr>
    </w:p>
    <w:p w14:paraId="3F9022C5" w14:textId="77777777" w:rsidR="003903B0" w:rsidRPr="00C34156" w:rsidRDefault="003903B0" w:rsidP="003903B0">
      <w:pPr>
        <w:pStyle w:val="Default"/>
        <w:spacing w:line="360" w:lineRule="auto"/>
        <w:jc w:val="center"/>
        <w:rPr>
          <w:b/>
        </w:rPr>
      </w:pPr>
      <w:r w:rsidRPr="00C34156">
        <w:rPr>
          <w:b/>
        </w:rPr>
        <w:t xml:space="preserve">And </w:t>
      </w:r>
    </w:p>
    <w:p w14:paraId="1792ACD2" w14:textId="77777777" w:rsidR="008015D8" w:rsidRPr="00C34156" w:rsidRDefault="008015D8" w:rsidP="003903B0">
      <w:pPr>
        <w:pStyle w:val="Default"/>
        <w:spacing w:line="360" w:lineRule="auto"/>
        <w:jc w:val="center"/>
        <w:rPr>
          <w:b/>
        </w:rPr>
      </w:pPr>
    </w:p>
    <w:p w14:paraId="70FCB22D" w14:textId="77777777" w:rsidR="008015D8" w:rsidRPr="00C34156" w:rsidRDefault="003903B0" w:rsidP="009F6F48">
      <w:pPr>
        <w:pStyle w:val="Default"/>
        <w:spacing w:line="360" w:lineRule="auto"/>
        <w:jc w:val="both"/>
        <w:rPr>
          <w:b/>
        </w:rPr>
      </w:pPr>
      <w:r w:rsidRPr="00C34156">
        <w:rPr>
          <w:b/>
        </w:rPr>
        <w:t xml:space="preserve">In The Matter of an Application </w:t>
      </w:r>
      <w:r w:rsidR="008015D8" w:rsidRPr="00C34156">
        <w:rPr>
          <w:b/>
        </w:rPr>
        <w:t xml:space="preserve">by First Citizens Bank Limited </w:t>
      </w:r>
      <w:r w:rsidR="008015D8" w:rsidRPr="00C34156">
        <w:rPr>
          <w:b/>
          <w:bCs/>
        </w:rPr>
        <w:t xml:space="preserve">for an Exemption from the Registration of Caribbean Airlines Limited and its US$50,000,000.00 Government Guaranteed 5.55% Fixed Rate Bonds due 2029 </w:t>
      </w:r>
      <w:r w:rsidR="009F6F48" w:rsidRPr="00C34156">
        <w:rPr>
          <w:b/>
          <w:bCs/>
        </w:rPr>
        <w:t>in accordance with the Commission’s Securitized Instrument</w:t>
      </w:r>
      <w:r w:rsidR="005509E9" w:rsidRPr="00C34156">
        <w:rPr>
          <w:b/>
          <w:bCs/>
        </w:rPr>
        <w:t xml:space="preserve"> Policy</w:t>
      </w:r>
    </w:p>
    <w:p w14:paraId="294C69E6" w14:textId="77777777" w:rsidR="008015D8" w:rsidRPr="000F4A33" w:rsidRDefault="008015D8" w:rsidP="003903B0">
      <w:pPr>
        <w:pStyle w:val="Default"/>
        <w:spacing w:line="360" w:lineRule="auto"/>
        <w:jc w:val="center"/>
        <w:rPr>
          <w:b/>
          <w:bCs/>
        </w:rPr>
      </w:pPr>
    </w:p>
    <w:p w14:paraId="738778A4" w14:textId="77777777" w:rsidR="003903B0" w:rsidRPr="000F4A33" w:rsidRDefault="003903B0" w:rsidP="000F4A33">
      <w:pPr>
        <w:pBdr>
          <w:top w:val="single" w:sz="4" w:space="1" w:color="auto"/>
          <w:bottom w:val="single" w:sz="4" w:space="1" w:color="auto"/>
        </w:pBdr>
        <w:spacing w:line="276" w:lineRule="auto"/>
        <w:jc w:val="center"/>
        <w:rPr>
          <w:b/>
        </w:rPr>
      </w:pPr>
      <w:r w:rsidRPr="000F4A33">
        <w:rPr>
          <w:b/>
        </w:rPr>
        <w:t>ORDER OF THE COMMISSION</w:t>
      </w:r>
    </w:p>
    <w:p w14:paraId="2F2C0E7C" w14:textId="77777777" w:rsidR="00452307" w:rsidRPr="000F4A33" w:rsidRDefault="00452307" w:rsidP="003903B0">
      <w:pPr>
        <w:spacing w:line="360" w:lineRule="auto"/>
        <w:jc w:val="both"/>
      </w:pPr>
    </w:p>
    <w:p w14:paraId="48347BE5" w14:textId="61E61B33" w:rsidR="003903B0" w:rsidRPr="000F4A33" w:rsidRDefault="003903B0" w:rsidP="003903B0">
      <w:pPr>
        <w:spacing w:line="360" w:lineRule="auto"/>
        <w:jc w:val="both"/>
      </w:pPr>
      <w:r w:rsidRPr="000F4A33">
        <w:t>Dated this</w:t>
      </w:r>
      <w:r w:rsidR="007804BC">
        <w:t xml:space="preserve"> 11</w:t>
      </w:r>
      <w:r w:rsidR="007804BC">
        <w:rPr>
          <w:vertAlign w:val="superscript"/>
        </w:rPr>
        <w:t>th</w:t>
      </w:r>
      <w:r w:rsidRPr="000F4A33">
        <w:t xml:space="preserve"> day of </w:t>
      </w:r>
      <w:r w:rsidR="007804BC">
        <w:t>October</w:t>
      </w:r>
      <w:r w:rsidRPr="000F4A33">
        <w:t>, 2021</w:t>
      </w:r>
    </w:p>
    <w:p w14:paraId="2081D9A8" w14:textId="77777777" w:rsidR="003903B0" w:rsidRPr="000F4A33" w:rsidRDefault="003903B0" w:rsidP="003903B0">
      <w:pPr>
        <w:spacing w:line="360" w:lineRule="auto"/>
        <w:jc w:val="center"/>
        <w:outlineLvl w:val="0"/>
        <w:rPr>
          <w:b/>
        </w:rPr>
      </w:pPr>
    </w:p>
    <w:p w14:paraId="3087D73A" w14:textId="77777777" w:rsidR="003903B0" w:rsidRPr="000F4A33" w:rsidRDefault="003903B0" w:rsidP="003903B0">
      <w:pPr>
        <w:pStyle w:val="Subtitle"/>
        <w:spacing w:line="360" w:lineRule="auto"/>
        <w:jc w:val="both"/>
        <w:outlineLvl w:val="0"/>
        <w:rPr>
          <w:sz w:val="24"/>
          <w:szCs w:val="24"/>
        </w:rPr>
      </w:pPr>
      <w:r w:rsidRPr="000F4A33">
        <w:rPr>
          <w:sz w:val="24"/>
          <w:szCs w:val="24"/>
        </w:rPr>
        <w:t xml:space="preserve">WHEREAS: </w:t>
      </w:r>
    </w:p>
    <w:p w14:paraId="665893B3" w14:textId="77777777" w:rsidR="005453F4" w:rsidRPr="000F4A33" w:rsidRDefault="00C94093" w:rsidP="000F4A33">
      <w:pPr>
        <w:pStyle w:val="Default"/>
        <w:numPr>
          <w:ilvl w:val="0"/>
          <w:numId w:val="1"/>
        </w:numPr>
        <w:spacing w:line="360" w:lineRule="auto"/>
        <w:ind w:left="426"/>
        <w:jc w:val="both"/>
      </w:pPr>
      <w:r w:rsidRPr="000F4A33">
        <w:t xml:space="preserve">On </w:t>
      </w:r>
      <w:r w:rsidR="005453F4" w:rsidRPr="000F4A33">
        <w:t>July</w:t>
      </w:r>
      <w:r w:rsidRPr="000F4A33">
        <w:t xml:space="preserve"> 20</w:t>
      </w:r>
      <w:r w:rsidRPr="000F4A33">
        <w:rPr>
          <w:vertAlign w:val="superscript"/>
        </w:rPr>
        <w:t>th</w:t>
      </w:r>
      <w:r w:rsidRPr="000F4A33">
        <w:t>, 2021</w:t>
      </w:r>
      <w:r w:rsidR="008341DC" w:rsidRPr="000F4A33">
        <w:t>,</w:t>
      </w:r>
      <w:r w:rsidRPr="000F4A33">
        <w:t xml:space="preserve"> </w:t>
      </w:r>
      <w:r w:rsidR="008341DC" w:rsidRPr="000F4A33">
        <w:t xml:space="preserve">pursuant to Section 62(9) of the Act, </w:t>
      </w:r>
      <w:r w:rsidRPr="000F4A33">
        <w:t xml:space="preserve">Caribbean Airlines Limited (“CAL”) issued US$50,000,000.00 Government Guaranteed 5.55% Fixed Rate Bonds due 2029 (the </w:t>
      </w:r>
      <w:r w:rsidR="00B01551">
        <w:t>“</w:t>
      </w:r>
      <w:r w:rsidRPr="000F4A33">
        <w:t xml:space="preserve">CAL Bonds”) </w:t>
      </w:r>
      <w:r w:rsidR="009F6F48" w:rsidRPr="000F4A33">
        <w:t>as</w:t>
      </w:r>
      <w:r w:rsidR="00B544A3" w:rsidRPr="000F4A33">
        <w:t xml:space="preserve"> a</w:t>
      </w:r>
      <w:r w:rsidR="009F6F48" w:rsidRPr="000F4A33">
        <w:t xml:space="preserve"> Limited O</w:t>
      </w:r>
      <w:r w:rsidRPr="000F4A33">
        <w:t>ffering</w:t>
      </w:r>
      <w:r w:rsidR="00B544A3" w:rsidRPr="000F4A33">
        <w:t xml:space="preserve"> </w:t>
      </w:r>
      <w:r w:rsidR="005453F4" w:rsidRPr="000F4A33">
        <w:t xml:space="preserve">and as such </w:t>
      </w:r>
      <w:r w:rsidR="008341DC" w:rsidRPr="000F4A33">
        <w:t xml:space="preserve">both CAL and the CAL Bonds were exempt from the registration requirement under </w:t>
      </w:r>
      <w:r w:rsidR="005453F4" w:rsidRPr="000F4A33">
        <w:t xml:space="preserve">Section 61(1) and 62(1) of the Act; </w:t>
      </w:r>
    </w:p>
    <w:p w14:paraId="6F272CBD" w14:textId="77777777" w:rsidR="005453F4" w:rsidRPr="000F4A33" w:rsidRDefault="005453F4" w:rsidP="000F4A33">
      <w:pPr>
        <w:pStyle w:val="Default"/>
        <w:spacing w:line="360" w:lineRule="auto"/>
        <w:ind w:left="426"/>
      </w:pPr>
    </w:p>
    <w:p w14:paraId="4CEC5262" w14:textId="77777777" w:rsidR="00C94093" w:rsidRPr="000F4A33" w:rsidRDefault="00C94093" w:rsidP="000F4A33">
      <w:pPr>
        <w:pStyle w:val="Default"/>
        <w:numPr>
          <w:ilvl w:val="0"/>
          <w:numId w:val="1"/>
        </w:numPr>
        <w:spacing w:line="360" w:lineRule="auto"/>
        <w:ind w:left="426"/>
        <w:jc w:val="both"/>
      </w:pPr>
      <w:r w:rsidRPr="000F4A33">
        <w:t xml:space="preserve">First Citizens Bank Limited (“FCB”) fully subscribed for the CAL Bonds and is proposing to offer Certificates of Interest in the </w:t>
      </w:r>
      <w:r w:rsidR="009F6F48" w:rsidRPr="000F4A33">
        <w:t>CAL</w:t>
      </w:r>
      <w:r w:rsidRPr="000F4A33">
        <w:t xml:space="preserve"> </w:t>
      </w:r>
      <w:r w:rsidR="009F6F48" w:rsidRPr="000F4A33">
        <w:t>B</w:t>
      </w:r>
      <w:r w:rsidRPr="000F4A33">
        <w:t xml:space="preserve">onds; </w:t>
      </w:r>
    </w:p>
    <w:p w14:paraId="21216008" w14:textId="77777777" w:rsidR="00C94093" w:rsidRPr="000F4A33" w:rsidRDefault="00C94093" w:rsidP="000F4A33">
      <w:pPr>
        <w:pStyle w:val="ListParagraph"/>
        <w:spacing w:line="360" w:lineRule="auto"/>
        <w:ind w:left="426"/>
      </w:pPr>
    </w:p>
    <w:p w14:paraId="186DD200" w14:textId="77777777" w:rsidR="000E2B34" w:rsidRPr="000F4A33" w:rsidRDefault="00C94093" w:rsidP="000F4A33">
      <w:pPr>
        <w:pStyle w:val="Default"/>
        <w:numPr>
          <w:ilvl w:val="0"/>
          <w:numId w:val="1"/>
        </w:numPr>
        <w:spacing w:line="360" w:lineRule="auto"/>
        <w:ind w:left="426"/>
        <w:jc w:val="both"/>
      </w:pPr>
      <w:r w:rsidRPr="000F4A33">
        <w:t xml:space="preserve">The Commission’s Securitized Instruments Policy </w:t>
      </w:r>
      <w:r w:rsidR="00B544A3" w:rsidRPr="000F4A33">
        <w:t>provides</w:t>
      </w:r>
      <w:r w:rsidR="000E2B34" w:rsidRPr="000F4A33">
        <w:t>,</w:t>
      </w:r>
      <w:r w:rsidRPr="000F4A33">
        <w:t xml:space="preserve"> inter alia</w:t>
      </w:r>
      <w:r w:rsidR="000E2B34" w:rsidRPr="000F4A33">
        <w:t>,</w:t>
      </w:r>
      <w:r w:rsidRPr="000F4A33">
        <w:t xml:space="preserve"> that where a securitized instrument is being registered and the underlying asset is a locally issued </w:t>
      </w:r>
      <w:r w:rsidRPr="000F4A33">
        <w:lastRenderedPageBreak/>
        <w:t xml:space="preserve">security, the underlying asset and its issuer must be registered with the </w:t>
      </w:r>
      <w:r w:rsidR="008341DC" w:rsidRPr="000F4A33">
        <w:t xml:space="preserve">Trinidad and Tobago Securities and Exchange </w:t>
      </w:r>
      <w:r w:rsidRPr="000F4A33">
        <w:t>Commission</w:t>
      </w:r>
      <w:r w:rsidR="008341DC" w:rsidRPr="000F4A33">
        <w:t xml:space="preserve"> (“Commission”)</w:t>
      </w:r>
      <w:r w:rsidRPr="000F4A33">
        <w:t xml:space="preserve">; </w:t>
      </w:r>
    </w:p>
    <w:p w14:paraId="481DFB3A" w14:textId="77777777" w:rsidR="000E2B34" w:rsidRPr="000F4A33" w:rsidRDefault="000E2B34" w:rsidP="000F4A33">
      <w:pPr>
        <w:pStyle w:val="ListParagraph"/>
        <w:spacing w:line="360" w:lineRule="auto"/>
        <w:ind w:left="426"/>
      </w:pPr>
    </w:p>
    <w:p w14:paraId="413BC6DF" w14:textId="77777777" w:rsidR="00EB678E" w:rsidRPr="000F4A33" w:rsidRDefault="000E2B34" w:rsidP="000F4A33">
      <w:pPr>
        <w:pStyle w:val="Default"/>
        <w:numPr>
          <w:ilvl w:val="0"/>
          <w:numId w:val="1"/>
        </w:numPr>
        <w:spacing w:line="360" w:lineRule="auto"/>
        <w:ind w:left="426"/>
        <w:jc w:val="both"/>
      </w:pPr>
      <w:r w:rsidRPr="000F4A33">
        <w:t>On August 12, 2021</w:t>
      </w:r>
      <w:r w:rsidR="000F4A33">
        <w:t>,</w:t>
      </w:r>
      <w:r w:rsidRPr="000F4A33">
        <w:t xml:space="preserve"> FCB submitted a request to the Commission for an exemption from the </w:t>
      </w:r>
      <w:r w:rsidR="008341DC" w:rsidRPr="000F4A33">
        <w:t>requirement to register both CAL and the CAL Bonds in accordance with</w:t>
      </w:r>
      <w:r w:rsidR="00965E74" w:rsidRPr="000F4A33">
        <w:t xml:space="preserve"> the </w:t>
      </w:r>
      <w:r w:rsidRPr="000F4A33">
        <w:t>Commission’s Securitized Instruments</w:t>
      </w:r>
      <w:r w:rsidR="008341DC" w:rsidRPr="000F4A33">
        <w:t xml:space="preserve"> Policy</w:t>
      </w:r>
      <w:r w:rsidR="00B544A3" w:rsidRPr="000F4A33">
        <w:t>;</w:t>
      </w:r>
    </w:p>
    <w:p w14:paraId="2D493AF2" w14:textId="77777777" w:rsidR="00EB678E" w:rsidRPr="000F4A33" w:rsidRDefault="00EB678E" w:rsidP="000F4A33">
      <w:pPr>
        <w:pStyle w:val="ListParagraph"/>
        <w:spacing w:line="360" w:lineRule="auto"/>
        <w:ind w:left="426"/>
      </w:pPr>
    </w:p>
    <w:p w14:paraId="6D6718E6" w14:textId="77777777" w:rsidR="00754549" w:rsidRPr="000F4A33" w:rsidRDefault="00965E74" w:rsidP="000F4A33">
      <w:pPr>
        <w:pStyle w:val="Default"/>
        <w:numPr>
          <w:ilvl w:val="0"/>
          <w:numId w:val="1"/>
        </w:numPr>
        <w:spacing w:line="360" w:lineRule="auto"/>
        <w:ind w:left="426"/>
        <w:jc w:val="both"/>
      </w:pPr>
      <w:r w:rsidRPr="000F4A33">
        <w:t xml:space="preserve">Pursuant to the provisions of </w:t>
      </w:r>
      <w:r w:rsidR="00EB678E" w:rsidRPr="000F4A33">
        <w:t>the</w:t>
      </w:r>
      <w:r w:rsidRPr="000F4A33">
        <w:t xml:space="preserve"> </w:t>
      </w:r>
      <w:r w:rsidR="00754549" w:rsidRPr="000F4A33">
        <w:t xml:space="preserve">Trust Deed for the </w:t>
      </w:r>
      <w:r w:rsidR="008341DC" w:rsidRPr="000F4A33">
        <w:t xml:space="preserve">aforementioned </w:t>
      </w:r>
      <w:r w:rsidRPr="000F4A33">
        <w:t xml:space="preserve">Certificates of </w:t>
      </w:r>
      <w:r w:rsidR="008341DC" w:rsidRPr="000F4A33">
        <w:t>Interests</w:t>
      </w:r>
      <w:r w:rsidRPr="000F4A33">
        <w:t xml:space="preserve">, </w:t>
      </w:r>
      <w:r w:rsidR="004B7C94">
        <w:t>i</w:t>
      </w:r>
      <w:r w:rsidR="00EB678E" w:rsidRPr="000F4A33">
        <w:t xml:space="preserve">nvestors in the Certificates of </w:t>
      </w:r>
      <w:r w:rsidR="008341DC" w:rsidRPr="000F4A33">
        <w:t>Interests</w:t>
      </w:r>
      <w:r w:rsidRPr="000F4A33">
        <w:t xml:space="preserve"> would be able to access </w:t>
      </w:r>
      <w:r w:rsidR="00EB678E" w:rsidRPr="000F4A33">
        <w:t>releva</w:t>
      </w:r>
      <w:r w:rsidR="008341DC" w:rsidRPr="000F4A33">
        <w:t xml:space="preserve">nt financial information of both CAL and the CAL Bonds </w:t>
      </w:r>
      <w:r w:rsidR="00754549" w:rsidRPr="000F4A33">
        <w:t>in respect of</w:t>
      </w:r>
      <w:r w:rsidR="00EB678E" w:rsidRPr="000F4A33">
        <w:t xml:space="preserve"> an</w:t>
      </w:r>
      <w:r w:rsidRPr="000F4A33">
        <w:t>y further investment decisions;</w:t>
      </w:r>
    </w:p>
    <w:p w14:paraId="2733183B" w14:textId="77777777" w:rsidR="00754549" w:rsidRPr="000F4A33" w:rsidRDefault="00754549" w:rsidP="000F4A33">
      <w:pPr>
        <w:pStyle w:val="ListParagraph"/>
        <w:spacing w:line="360" w:lineRule="auto"/>
        <w:ind w:left="426"/>
      </w:pPr>
    </w:p>
    <w:p w14:paraId="6E355FD4" w14:textId="77777777" w:rsidR="000F4A33" w:rsidRPr="000F4A33" w:rsidRDefault="00754549" w:rsidP="000F4A33">
      <w:pPr>
        <w:pStyle w:val="Default"/>
        <w:numPr>
          <w:ilvl w:val="0"/>
          <w:numId w:val="1"/>
        </w:numPr>
        <w:spacing w:line="360" w:lineRule="auto"/>
        <w:ind w:left="426"/>
        <w:jc w:val="both"/>
      </w:pPr>
      <w:r w:rsidRPr="000F4A33">
        <w:t>Section 155 (1</w:t>
      </w:r>
      <w:r w:rsidR="000F4A33" w:rsidRPr="000F4A33">
        <w:t>A) (c) of the Act provides that w</w:t>
      </w:r>
      <w:r w:rsidRPr="000F4A33">
        <w:t>here the Commission on its own motion or on an application by an interested person considers it to be not contrary to the public interest, it may make an order that any person be exempted f</w:t>
      </w:r>
      <w:r w:rsidR="000F4A33" w:rsidRPr="000F4A33">
        <w:t xml:space="preserve">rom any requirement of this Act; </w:t>
      </w:r>
      <w:r w:rsidR="004B7C94">
        <w:t>and</w:t>
      </w:r>
    </w:p>
    <w:p w14:paraId="10AA4466" w14:textId="77777777" w:rsidR="008015D8" w:rsidRPr="000F4A33" w:rsidRDefault="00754549" w:rsidP="000F4A33">
      <w:pPr>
        <w:pStyle w:val="Default"/>
        <w:numPr>
          <w:ilvl w:val="0"/>
          <w:numId w:val="1"/>
        </w:numPr>
        <w:spacing w:line="360" w:lineRule="auto"/>
        <w:ind w:left="426"/>
        <w:jc w:val="both"/>
      </w:pPr>
      <w:r w:rsidRPr="000F4A33">
        <w:t xml:space="preserve">Prior to making an Order, the Commission is required under Section 159(1) of the Act to provide an opportunity for a hearing to each person affected by the Order. However, in accordance with Section 159(10) </w:t>
      </w:r>
      <w:r w:rsidR="000F4A33">
        <w:t xml:space="preserve">(b) </w:t>
      </w:r>
      <w:r w:rsidR="004B7C94">
        <w:t xml:space="preserve">of the Act </w:t>
      </w:r>
      <w:r w:rsidRPr="000F4A33">
        <w:t>a hearing</w:t>
      </w:r>
      <w:r w:rsidR="000F4A33">
        <w:t xml:space="preserve"> is not necessary in respect of a</w:t>
      </w:r>
      <w:r w:rsidR="004B7C94">
        <w:t>n O</w:t>
      </w:r>
      <w:r w:rsidRPr="000F4A33">
        <w:t>rder that does not adversely affect the rights</w:t>
      </w:r>
      <w:r w:rsidR="000F4A33">
        <w:t xml:space="preserve"> or interests of any person.</w:t>
      </w:r>
    </w:p>
    <w:p w14:paraId="6F0EC49C" w14:textId="77777777" w:rsidR="00754549" w:rsidRPr="000F4A33" w:rsidRDefault="00754549" w:rsidP="003903B0">
      <w:pPr>
        <w:spacing w:line="360" w:lineRule="auto"/>
        <w:jc w:val="both"/>
        <w:rPr>
          <w:b/>
        </w:rPr>
      </w:pPr>
    </w:p>
    <w:p w14:paraId="2499806C" w14:textId="77777777" w:rsidR="003903B0" w:rsidRPr="000F4A33" w:rsidRDefault="003903B0" w:rsidP="003903B0">
      <w:pPr>
        <w:spacing w:line="360" w:lineRule="auto"/>
        <w:jc w:val="both"/>
        <w:rPr>
          <w:b/>
        </w:rPr>
      </w:pPr>
      <w:r w:rsidRPr="000F4A33">
        <w:rPr>
          <w:b/>
        </w:rPr>
        <w:t xml:space="preserve">AND UPON </w:t>
      </w:r>
    </w:p>
    <w:p w14:paraId="2FE06A81" w14:textId="77777777" w:rsidR="003903B0" w:rsidRPr="000F4A33" w:rsidRDefault="003903B0" w:rsidP="000F4A33">
      <w:pPr>
        <w:pStyle w:val="Default"/>
        <w:numPr>
          <w:ilvl w:val="0"/>
          <w:numId w:val="2"/>
        </w:numPr>
        <w:spacing w:line="360" w:lineRule="auto"/>
        <w:ind w:left="567" w:hanging="425"/>
        <w:jc w:val="both"/>
      </w:pPr>
      <w:r w:rsidRPr="000F4A33">
        <w:t xml:space="preserve">The Board of Commissioners considering </w:t>
      </w:r>
      <w:r w:rsidR="00965E74" w:rsidRPr="000F4A33">
        <w:t xml:space="preserve">the application by FCB for an exemption from the provisions under the Commission’s Securitized Instruments Policy relative to the registration of both CAL and the CAL Bonds </w:t>
      </w:r>
      <w:r w:rsidR="00FC3566" w:rsidRPr="000F4A33">
        <w:t>as well as</w:t>
      </w:r>
      <w:r w:rsidR="008015D8" w:rsidRPr="000F4A33">
        <w:t xml:space="preserve"> </w:t>
      </w:r>
      <w:r w:rsidRPr="000F4A33">
        <w:t>the representations made by the Staff of the Commission in relation to this matter;</w:t>
      </w:r>
      <w:r w:rsidR="000F4A33">
        <w:t xml:space="preserve"> and</w:t>
      </w:r>
    </w:p>
    <w:p w14:paraId="4F62A457" w14:textId="77777777" w:rsidR="003903B0" w:rsidRPr="000F4A33" w:rsidRDefault="003903B0" w:rsidP="003903B0">
      <w:pPr>
        <w:pStyle w:val="Default"/>
        <w:spacing w:line="360" w:lineRule="auto"/>
        <w:ind w:left="993"/>
        <w:jc w:val="both"/>
      </w:pPr>
    </w:p>
    <w:p w14:paraId="16477067" w14:textId="77777777" w:rsidR="003903B0" w:rsidRPr="000F4A33" w:rsidRDefault="003903B0" w:rsidP="003903B0">
      <w:pPr>
        <w:pStyle w:val="Default"/>
        <w:numPr>
          <w:ilvl w:val="0"/>
          <w:numId w:val="2"/>
        </w:numPr>
        <w:spacing w:line="360" w:lineRule="auto"/>
        <w:ind w:left="567" w:hanging="425"/>
        <w:jc w:val="both"/>
      </w:pPr>
      <w:r w:rsidRPr="000F4A33">
        <w:t xml:space="preserve">The Board of Commissioners determining that </w:t>
      </w:r>
      <w:r w:rsidR="00FC3566" w:rsidRPr="000F4A33">
        <w:t xml:space="preserve">the making of this Order does not adversely affect </w:t>
      </w:r>
      <w:r w:rsidR="00754549" w:rsidRPr="000F4A33">
        <w:t xml:space="preserve">the rights or interests of any person </w:t>
      </w:r>
      <w:r w:rsidRPr="000F4A33">
        <w:t xml:space="preserve">in accordance </w:t>
      </w:r>
      <w:r w:rsidR="00FC3566" w:rsidRPr="000F4A33">
        <w:t xml:space="preserve">with Sections 159(10)(b) </w:t>
      </w:r>
      <w:r w:rsidRPr="000F4A33">
        <w:t>of the Act, and therefore, no hearing is required in accordance with Section 159(1) of the Act.</w:t>
      </w:r>
    </w:p>
    <w:p w14:paraId="4DAFEE3E" w14:textId="77777777" w:rsidR="00FC3566" w:rsidRPr="000F4A33" w:rsidRDefault="00FC3566" w:rsidP="00FC3566">
      <w:pPr>
        <w:pStyle w:val="ListParagraph"/>
      </w:pPr>
    </w:p>
    <w:p w14:paraId="71539DA8" w14:textId="77777777" w:rsidR="00FC3566" w:rsidRPr="000F4A33" w:rsidRDefault="00FC3566" w:rsidP="00FC3566">
      <w:pPr>
        <w:pStyle w:val="ListParagraph"/>
      </w:pPr>
    </w:p>
    <w:p w14:paraId="2FD42DC5" w14:textId="77777777" w:rsidR="00E31303" w:rsidRDefault="00E31303" w:rsidP="003903B0">
      <w:pPr>
        <w:spacing w:line="360" w:lineRule="auto"/>
        <w:ind w:hanging="90"/>
        <w:jc w:val="both"/>
        <w:rPr>
          <w:b/>
        </w:rPr>
      </w:pPr>
    </w:p>
    <w:p w14:paraId="79EC9C3B" w14:textId="77777777" w:rsidR="003903B0" w:rsidRPr="000F4A33" w:rsidRDefault="003903B0" w:rsidP="008640F6">
      <w:pPr>
        <w:spacing w:line="360" w:lineRule="auto"/>
        <w:ind w:hanging="90"/>
        <w:rPr>
          <w:b/>
        </w:rPr>
      </w:pPr>
      <w:r w:rsidRPr="000F4A33">
        <w:rPr>
          <w:b/>
        </w:rPr>
        <w:lastRenderedPageBreak/>
        <w:t xml:space="preserve">IT IS HEREBY ORDERED THAT: </w:t>
      </w:r>
      <w:r w:rsidRPr="000F4A33">
        <w:t xml:space="preserve"> </w:t>
      </w:r>
    </w:p>
    <w:p w14:paraId="05327015" w14:textId="77777777" w:rsidR="005453F4" w:rsidRPr="000F4A33" w:rsidRDefault="005453F4" w:rsidP="008640F6">
      <w:pPr>
        <w:pStyle w:val="Default"/>
      </w:pPr>
    </w:p>
    <w:p w14:paraId="0E794373" w14:textId="77777777" w:rsidR="007804BC" w:rsidRDefault="007804BC" w:rsidP="008640F6">
      <w:pPr>
        <w:pStyle w:val="Default"/>
        <w:numPr>
          <w:ilvl w:val="0"/>
          <w:numId w:val="3"/>
        </w:numPr>
        <w:spacing w:line="360" w:lineRule="auto"/>
        <w:ind w:left="142" w:hanging="218"/>
      </w:pPr>
      <w:r>
        <w:t xml:space="preserve">Pursuant to section 155 (1A) (c) </w:t>
      </w:r>
      <w:proofErr w:type="gramStart"/>
      <w:r>
        <w:t>both:-</w:t>
      </w:r>
      <w:proofErr w:type="gramEnd"/>
    </w:p>
    <w:p w14:paraId="0A460D8C" w14:textId="77777777" w:rsidR="008640F6" w:rsidRDefault="004B7C94" w:rsidP="008640F6">
      <w:pPr>
        <w:pStyle w:val="Default"/>
        <w:numPr>
          <w:ilvl w:val="0"/>
          <w:numId w:val="10"/>
        </w:numPr>
        <w:spacing w:line="360" w:lineRule="auto"/>
        <w:ind w:left="567" w:hanging="425"/>
      </w:pPr>
      <w:r>
        <w:t xml:space="preserve">the offer by First Citizens Bank Limited of Certificates of Interests in the CAL Bonds, the </w:t>
      </w:r>
      <w:r w:rsidR="00E112C2">
        <w:t>I</w:t>
      </w:r>
      <w:r>
        <w:t>ssuer of the underlying securities</w:t>
      </w:r>
      <w:r w:rsidR="00D3073E">
        <w:t>,</w:t>
      </w:r>
      <w:r>
        <w:t xml:space="preserve"> </w:t>
      </w:r>
      <w:r w:rsidR="005453F4" w:rsidRPr="000F4A33">
        <w:t>Caribbean Airlines Limited</w:t>
      </w:r>
      <w:r w:rsidR="007804BC">
        <w:t>;</w:t>
      </w:r>
      <w:r w:rsidR="005453F4" w:rsidRPr="000F4A33">
        <w:t xml:space="preserve"> </w:t>
      </w:r>
      <w:r>
        <w:t xml:space="preserve">and </w:t>
      </w:r>
    </w:p>
    <w:p w14:paraId="7B0297CA" w14:textId="7ACFF333" w:rsidR="005453F4" w:rsidRPr="000F4A33" w:rsidRDefault="004B7C94" w:rsidP="008640F6">
      <w:pPr>
        <w:pStyle w:val="Default"/>
        <w:numPr>
          <w:ilvl w:val="0"/>
          <w:numId w:val="10"/>
        </w:numPr>
        <w:spacing w:line="360" w:lineRule="auto"/>
        <w:ind w:left="567" w:hanging="425"/>
      </w:pPr>
      <w:r>
        <w:t>the underlying securities distribution</w:t>
      </w:r>
      <w:r w:rsidR="005453F4" w:rsidRPr="000F4A33">
        <w:t>, Caribbean Airlines Limited’s</w:t>
      </w:r>
      <w:r w:rsidR="007804BC">
        <w:t xml:space="preserve"> </w:t>
      </w:r>
      <w:r w:rsidR="005453F4" w:rsidRPr="000F4A33">
        <w:t xml:space="preserve">US$50,000,000.00 Government Guaranteed 5.55% Fixed Rate Bonds due 2029 are exempt from the requirement to be registered </w:t>
      </w:r>
      <w:r w:rsidR="008640F6">
        <w:t>which is found in</w:t>
      </w:r>
      <w:r w:rsidR="005453F4" w:rsidRPr="000F4A33">
        <w:t xml:space="preserve"> the Commission’s Securitized Instruments Policy. </w:t>
      </w:r>
    </w:p>
    <w:p w14:paraId="2D860922" w14:textId="77777777" w:rsidR="005453F4" w:rsidRPr="000F4A33" w:rsidRDefault="005453F4" w:rsidP="008640F6">
      <w:pPr>
        <w:pStyle w:val="Default"/>
        <w:spacing w:line="360" w:lineRule="auto"/>
      </w:pPr>
    </w:p>
    <w:p w14:paraId="0A1934CC" w14:textId="679F26B4" w:rsidR="003903B0" w:rsidRPr="000F4A33" w:rsidRDefault="003903B0" w:rsidP="008640F6">
      <w:pPr>
        <w:pStyle w:val="Default"/>
        <w:numPr>
          <w:ilvl w:val="0"/>
          <w:numId w:val="3"/>
        </w:numPr>
        <w:spacing w:line="360" w:lineRule="auto"/>
        <w:ind w:left="142" w:hanging="142"/>
      </w:pPr>
      <w:r w:rsidRPr="000F4A33">
        <w:t xml:space="preserve">This Order shall be published in the Trinidad and Tobago Gazette and on the Commission’s website. A Notice of the posting shall be published in two daily newspapers of general circulation in Trinidad and Tobago; </w:t>
      </w:r>
      <w:r w:rsidR="008640F6">
        <w:t>and</w:t>
      </w:r>
    </w:p>
    <w:p w14:paraId="040B289D" w14:textId="77777777" w:rsidR="003903B0" w:rsidRPr="000F4A33" w:rsidRDefault="003903B0" w:rsidP="008640F6">
      <w:pPr>
        <w:pStyle w:val="Default"/>
        <w:spacing w:line="360" w:lineRule="auto"/>
        <w:ind w:left="284"/>
      </w:pPr>
    </w:p>
    <w:p w14:paraId="3B21D2D9" w14:textId="7FCAA301" w:rsidR="003903B0" w:rsidRPr="000F4A33" w:rsidRDefault="003903B0" w:rsidP="008640F6">
      <w:pPr>
        <w:pStyle w:val="Default"/>
        <w:numPr>
          <w:ilvl w:val="0"/>
          <w:numId w:val="3"/>
        </w:numPr>
        <w:spacing w:line="360" w:lineRule="auto"/>
        <w:ind w:left="142" w:hanging="153"/>
      </w:pPr>
      <w:r w:rsidRPr="000F4A33">
        <w:t xml:space="preserve"> This Order shall be effective from </w:t>
      </w:r>
      <w:r w:rsidR="00452307">
        <w:t>the</w:t>
      </w:r>
      <w:r w:rsidR="008640F6">
        <w:t xml:space="preserve"> 20</w:t>
      </w:r>
      <w:r w:rsidR="008640F6" w:rsidRPr="008640F6">
        <w:rPr>
          <w:vertAlign w:val="superscript"/>
        </w:rPr>
        <w:t>th</w:t>
      </w:r>
      <w:r w:rsidR="008640F6">
        <w:t xml:space="preserve"> </w:t>
      </w:r>
      <w:r w:rsidR="00452307">
        <w:t>of</w:t>
      </w:r>
      <w:r w:rsidR="008015D8" w:rsidRPr="000F4A33">
        <w:t xml:space="preserve"> </w:t>
      </w:r>
      <w:r w:rsidR="008640F6">
        <w:t>September</w:t>
      </w:r>
      <w:r w:rsidRPr="000F4A33">
        <w:t xml:space="preserve">, 2021. </w:t>
      </w:r>
    </w:p>
    <w:p w14:paraId="1BA29112" w14:textId="77777777" w:rsidR="003903B0" w:rsidRPr="000F4A33" w:rsidRDefault="003903B0" w:rsidP="003903B0">
      <w:pPr>
        <w:pStyle w:val="Default"/>
        <w:spacing w:line="360" w:lineRule="auto"/>
      </w:pPr>
    </w:p>
    <w:p w14:paraId="46A428E5" w14:textId="39C3EE13" w:rsidR="003903B0" w:rsidRPr="008640F6" w:rsidRDefault="008640F6" w:rsidP="008640F6">
      <w:pPr>
        <w:spacing w:line="360" w:lineRule="auto"/>
        <w:jc w:val="right"/>
        <w:rPr>
          <w:b/>
        </w:rPr>
      </w:pPr>
      <w:r>
        <w:rPr>
          <w:b/>
        </w:rPr>
        <w:t>BY ORDER OF THE COMMISSION</w:t>
      </w:r>
      <w:bookmarkStart w:id="0" w:name="_GoBack"/>
      <w:bookmarkEnd w:id="0"/>
    </w:p>
    <w:sectPr w:rsidR="003903B0" w:rsidRPr="00864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0BEE6C"/>
    <w:multiLevelType w:val="hybridMultilevel"/>
    <w:tmpl w:val="EF1896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9D64EC"/>
    <w:multiLevelType w:val="hybridMultilevel"/>
    <w:tmpl w:val="AB5D99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5D37B3"/>
    <w:multiLevelType w:val="hybridMultilevel"/>
    <w:tmpl w:val="3DBAF6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6008E6"/>
    <w:multiLevelType w:val="hybridMultilevel"/>
    <w:tmpl w:val="ABAA099A"/>
    <w:lvl w:ilvl="0" w:tplc="2C090013">
      <w:start w:val="1"/>
      <w:numFmt w:val="upperRoman"/>
      <w:lvlText w:val="%1."/>
      <w:lvlJc w:val="right"/>
    </w:lvl>
    <w:lvl w:ilvl="1" w:tplc="5B38DED8">
      <w:start w:val="9"/>
      <w:numFmt w:val="lowerLetter"/>
      <w:lvlText w:val="%2."/>
      <w:lvlJc w:val="left"/>
      <w:pPr>
        <w:ind w:left="2292" w:hanging="360"/>
      </w:pPr>
      <w:rPr>
        <w:rFonts w:hint="default"/>
      </w:rPr>
    </w:lvl>
    <w:lvl w:ilvl="2" w:tplc="2C09001B" w:tentative="1">
      <w:start w:val="1"/>
      <w:numFmt w:val="lowerRoman"/>
      <w:lvlText w:val="%3."/>
      <w:lvlJc w:val="right"/>
      <w:pPr>
        <w:ind w:left="3012" w:hanging="180"/>
      </w:pPr>
    </w:lvl>
    <w:lvl w:ilvl="3" w:tplc="2C09000F" w:tentative="1">
      <w:start w:val="1"/>
      <w:numFmt w:val="decimal"/>
      <w:lvlText w:val="%4."/>
      <w:lvlJc w:val="left"/>
      <w:pPr>
        <w:ind w:left="3732" w:hanging="360"/>
      </w:pPr>
    </w:lvl>
    <w:lvl w:ilvl="4" w:tplc="2C090019" w:tentative="1">
      <w:start w:val="1"/>
      <w:numFmt w:val="lowerLetter"/>
      <w:lvlText w:val="%5."/>
      <w:lvlJc w:val="left"/>
      <w:pPr>
        <w:ind w:left="4452" w:hanging="360"/>
      </w:pPr>
    </w:lvl>
    <w:lvl w:ilvl="5" w:tplc="2C09001B" w:tentative="1">
      <w:start w:val="1"/>
      <w:numFmt w:val="lowerRoman"/>
      <w:lvlText w:val="%6."/>
      <w:lvlJc w:val="right"/>
      <w:pPr>
        <w:ind w:left="5172" w:hanging="180"/>
      </w:pPr>
    </w:lvl>
    <w:lvl w:ilvl="6" w:tplc="2C09000F" w:tentative="1">
      <w:start w:val="1"/>
      <w:numFmt w:val="decimal"/>
      <w:lvlText w:val="%7."/>
      <w:lvlJc w:val="left"/>
      <w:pPr>
        <w:ind w:left="5892" w:hanging="360"/>
      </w:pPr>
    </w:lvl>
    <w:lvl w:ilvl="7" w:tplc="2C090019" w:tentative="1">
      <w:start w:val="1"/>
      <w:numFmt w:val="lowerLetter"/>
      <w:lvlText w:val="%8."/>
      <w:lvlJc w:val="left"/>
      <w:pPr>
        <w:ind w:left="6612" w:hanging="360"/>
      </w:pPr>
    </w:lvl>
    <w:lvl w:ilvl="8" w:tplc="2C09001B" w:tentative="1">
      <w:start w:val="1"/>
      <w:numFmt w:val="lowerRoman"/>
      <w:lvlText w:val="%9."/>
      <w:lvlJc w:val="right"/>
      <w:pPr>
        <w:ind w:left="7332" w:hanging="180"/>
      </w:pPr>
    </w:lvl>
  </w:abstractNum>
  <w:abstractNum w:abstractNumId="4" w15:restartNumberingAfterBreak="0">
    <w:nsid w:val="25043648"/>
    <w:multiLevelType w:val="hybridMultilevel"/>
    <w:tmpl w:val="70887C2A"/>
    <w:lvl w:ilvl="0" w:tplc="E74CE512">
      <w:start w:val="1"/>
      <w:numFmt w:val="decimal"/>
      <w:lvlText w:val="%1."/>
      <w:lvlJc w:val="left"/>
      <w:pPr>
        <w:ind w:left="1080" w:hanging="360"/>
      </w:pPr>
      <w:rPr>
        <w:rFonts w:ascii="Times New Roman" w:eastAsia="Times New Roman" w:hAnsi="Times New Roman" w:cs="Times New Roman"/>
        <w:b w:val="0"/>
      </w:rPr>
    </w:lvl>
    <w:lvl w:ilvl="1" w:tplc="2C090019">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5" w15:restartNumberingAfterBreak="0">
    <w:nsid w:val="27494420"/>
    <w:multiLevelType w:val="hybridMultilevel"/>
    <w:tmpl w:val="18BEB8C6"/>
    <w:lvl w:ilvl="0" w:tplc="F18C09AC">
      <w:start w:val="1"/>
      <w:numFmt w:val="decimal"/>
      <w:lvlText w:val="%1."/>
      <w:lvlJc w:val="left"/>
      <w:pPr>
        <w:ind w:left="1080" w:hanging="360"/>
      </w:pPr>
      <w:rPr>
        <w:rFonts w:ascii="Times New Roman" w:eastAsia="Times New Roman" w:hAnsi="Times New Roman" w:cs="Times New Roman"/>
        <w:b w:val="0"/>
      </w:rPr>
    </w:lvl>
    <w:lvl w:ilvl="1" w:tplc="2C090019">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6" w15:restartNumberingAfterBreak="0">
    <w:nsid w:val="34CE6F79"/>
    <w:multiLevelType w:val="hybridMultilevel"/>
    <w:tmpl w:val="9EC0C7F4"/>
    <w:lvl w:ilvl="0" w:tplc="43D4AD56">
      <w:start w:val="35"/>
      <w:numFmt w:val="lowerLetter"/>
      <w:lvlText w:val="%1."/>
      <w:lvlJc w:val="left"/>
      <w:pPr>
        <w:ind w:left="2292"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7" w15:restartNumberingAfterBreak="0">
    <w:nsid w:val="372249E8"/>
    <w:multiLevelType w:val="hybridMultilevel"/>
    <w:tmpl w:val="D170660C"/>
    <w:lvl w:ilvl="0" w:tplc="FB7EAAFA">
      <w:start w:val="1"/>
      <w:numFmt w:val="lowerRoman"/>
      <w:lvlText w:val="(%1)"/>
      <w:lvlJc w:val="left"/>
      <w:pPr>
        <w:ind w:left="1429" w:hanging="720"/>
      </w:pPr>
      <w:rPr>
        <w:rFonts w:hint="default"/>
      </w:rPr>
    </w:lvl>
    <w:lvl w:ilvl="1" w:tplc="2C090019" w:tentative="1">
      <w:start w:val="1"/>
      <w:numFmt w:val="lowerLetter"/>
      <w:lvlText w:val="%2."/>
      <w:lvlJc w:val="left"/>
      <w:pPr>
        <w:ind w:left="1789" w:hanging="360"/>
      </w:pPr>
    </w:lvl>
    <w:lvl w:ilvl="2" w:tplc="2C09001B" w:tentative="1">
      <w:start w:val="1"/>
      <w:numFmt w:val="lowerRoman"/>
      <w:lvlText w:val="%3."/>
      <w:lvlJc w:val="right"/>
      <w:pPr>
        <w:ind w:left="2509" w:hanging="180"/>
      </w:pPr>
    </w:lvl>
    <w:lvl w:ilvl="3" w:tplc="2C09000F" w:tentative="1">
      <w:start w:val="1"/>
      <w:numFmt w:val="decimal"/>
      <w:lvlText w:val="%4."/>
      <w:lvlJc w:val="left"/>
      <w:pPr>
        <w:ind w:left="3229" w:hanging="360"/>
      </w:pPr>
    </w:lvl>
    <w:lvl w:ilvl="4" w:tplc="2C090019" w:tentative="1">
      <w:start w:val="1"/>
      <w:numFmt w:val="lowerLetter"/>
      <w:lvlText w:val="%5."/>
      <w:lvlJc w:val="left"/>
      <w:pPr>
        <w:ind w:left="3949" w:hanging="360"/>
      </w:pPr>
    </w:lvl>
    <w:lvl w:ilvl="5" w:tplc="2C09001B" w:tentative="1">
      <w:start w:val="1"/>
      <w:numFmt w:val="lowerRoman"/>
      <w:lvlText w:val="%6."/>
      <w:lvlJc w:val="right"/>
      <w:pPr>
        <w:ind w:left="4669" w:hanging="180"/>
      </w:pPr>
    </w:lvl>
    <w:lvl w:ilvl="6" w:tplc="2C09000F" w:tentative="1">
      <w:start w:val="1"/>
      <w:numFmt w:val="decimal"/>
      <w:lvlText w:val="%7."/>
      <w:lvlJc w:val="left"/>
      <w:pPr>
        <w:ind w:left="5389" w:hanging="360"/>
      </w:pPr>
    </w:lvl>
    <w:lvl w:ilvl="7" w:tplc="2C090019" w:tentative="1">
      <w:start w:val="1"/>
      <w:numFmt w:val="lowerLetter"/>
      <w:lvlText w:val="%8."/>
      <w:lvlJc w:val="left"/>
      <w:pPr>
        <w:ind w:left="6109" w:hanging="360"/>
      </w:pPr>
    </w:lvl>
    <w:lvl w:ilvl="8" w:tplc="2C09001B" w:tentative="1">
      <w:start w:val="1"/>
      <w:numFmt w:val="lowerRoman"/>
      <w:lvlText w:val="%9."/>
      <w:lvlJc w:val="right"/>
      <w:pPr>
        <w:ind w:left="6829" w:hanging="180"/>
      </w:pPr>
    </w:lvl>
  </w:abstractNum>
  <w:abstractNum w:abstractNumId="8" w15:restartNumberingAfterBreak="0">
    <w:nsid w:val="408ECC30"/>
    <w:multiLevelType w:val="hybridMultilevel"/>
    <w:tmpl w:val="3577C18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F0D0D5C"/>
    <w:multiLevelType w:val="hybridMultilevel"/>
    <w:tmpl w:val="DD9C4C3A"/>
    <w:lvl w:ilvl="0" w:tplc="005C4B66">
      <w:start w:val="1"/>
      <w:numFmt w:val="lowerRoman"/>
      <w:lvlText w:val="(%1)"/>
      <w:lvlJc w:val="left"/>
      <w:pPr>
        <w:ind w:left="2652" w:hanging="720"/>
      </w:pPr>
      <w:rPr>
        <w:rFonts w:hint="default"/>
      </w:rPr>
    </w:lvl>
    <w:lvl w:ilvl="1" w:tplc="2C090019" w:tentative="1">
      <w:start w:val="1"/>
      <w:numFmt w:val="lowerLetter"/>
      <w:lvlText w:val="%2."/>
      <w:lvlJc w:val="left"/>
      <w:pPr>
        <w:ind w:left="3012" w:hanging="360"/>
      </w:pPr>
    </w:lvl>
    <w:lvl w:ilvl="2" w:tplc="2C09001B" w:tentative="1">
      <w:start w:val="1"/>
      <w:numFmt w:val="lowerRoman"/>
      <w:lvlText w:val="%3."/>
      <w:lvlJc w:val="right"/>
      <w:pPr>
        <w:ind w:left="3732" w:hanging="180"/>
      </w:pPr>
    </w:lvl>
    <w:lvl w:ilvl="3" w:tplc="2C09000F" w:tentative="1">
      <w:start w:val="1"/>
      <w:numFmt w:val="decimal"/>
      <w:lvlText w:val="%4."/>
      <w:lvlJc w:val="left"/>
      <w:pPr>
        <w:ind w:left="4452" w:hanging="360"/>
      </w:pPr>
    </w:lvl>
    <w:lvl w:ilvl="4" w:tplc="2C090019" w:tentative="1">
      <w:start w:val="1"/>
      <w:numFmt w:val="lowerLetter"/>
      <w:lvlText w:val="%5."/>
      <w:lvlJc w:val="left"/>
      <w:pPr>
        <w:ind w:left="5172" w:hanging="360"/>
      </w:pPr>
    </w:lvl>
    <w:lvl w:ilvl="5" w:tplc="2C09001B" w:tentative="1">
      <w:start w:val="1"/>
      <w:numFmt w:val="lowerRoman"/>
      <w:lvlText w:val="%6."/>
      <w:lvlJc w:val="right"/>
      <w:pPr>
        <w:ind w:left="5892" w:hanging="180"/>
      </w:pPr>
    </w:lvl>
    <w:lvl w:ilvl="6" w:tplc="2C09000F" w:tentative="1">
      <w:start w:val="1"/>
      <w:numFmt w:val="decimal"/>
      <w:lvlText w:val="%7."/>
      <w:lvlJc w:val="left"/>
      <w:pPr>
        <w:ind w:left="6612" w:hanging="360"/>
      </w:pPr>
    </w:lvl>
    <w:lvl w:ilvl="7" w:tplc="2C090019" w:tentative="1">
      <w:start w:val="1"/>
      <w:numFmt w:val="lowerLetter"/>
      <w:lvlText w:val="%8."/>
      <w:lvlJc w:val="left"/>
      <w:pPr>
        <w:ind w:left="7332" w:hanging="360"/>
      </w:pPr>
    </w:lvl>
    <w:lvl w:ilvl="8" w:tplc="2C09001B" w:tentative="1">
      <w:start w:val="1"/>
      <w:numFmt w:val="lowerRoman"/>
      <w:lvlText w:val="%9."/>
      <w:lvlJc w:val="right"/>
      <w:pPr>
        <w:ind w:left="8052" w:hanging="180"/>
      </w:pPr>
    </w:lvl>
  </w:abstractNum>
  <w:num w:numId="1">
    <w:abstractNumId w:val="5"/>
  </w:num>
  <w:num w:numId="2">
    <w:abstractNumId w:val="4"/>
  </w:num>
  <w:num w:numId="3">
    <w:abstractNumId w:val="3"/>
  </w:num>
  <w:num w:numId="4">
    <w:abstractNumId w:val="7"/>
  </w:num>
  <w:num w:numId="5">
    <w:abstractNumId w:val="2"/>
  </w:num>
  <w:num w:numId="6">
    <w:abstractNumId w:val="8"/>
  </w:num>
  <w:num w:numId="7">
    <w:abstractNumId w:val="0"/>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B0"/>
    <w:rsid w:val="000002C6"/>
    <w:rsid w:val="000016C7"/>
    <w:rsid w:val="000016F8"/>
    <w:rsid w:val="0000584A"/>
    <w:rsid w:val="00005F36"/>
    <w:rsid w:val="00010854"/>
    <w:rsid w:val="000158E1"/>
    <w:rsid w:val="00024E45"/>
    <w:rsid w:val="00027B41"/>
    <w:rsid w:val="00033D73"/>
    <w:rsid w:val="0004694B"/>
    <w:rsid w:val="00055B3C"/>
    <w:rsid w:val="000701E7"/>
    <w:rsid w:val="00076B9D"/>
    <w:rsid w:val="00081B9C"/>
    <w:rsid w:val="00086671"/>
    <w:rsid w:val="00087A0D"/>
    <w:rsid w:val="00087E08"/>
    <w:rsid w:val="000A31D7"/>
    <w:rsid w:val="000A3DEB"/>
    <w:rsid w:val="000B05DD"/>
    <w:rsid w:val="000C0116"/>
    <w:rsid w:val="000C07D6"/>
    <w:rsid w:val="000C4AD0"/>
    <w:rsid w:val="000D45B6"/>
    <w:rsid w:val="000D4DCC"/>
    <w:rsid w:val="000E2B34"/>
    <w:rsid w:val="000F2DB2"/>
    <w:rsid w:val="000F4A33"/>
    <w:rsid w:val="00110638"/>
    <w:rsid w:val="00120DAE"/>
    <w:rsid w:val="00132B72"/>
    <w:rsid w:val="00133004"/>
    <w:rsid w:val="00143149"/>
    <w:rsid w:val="00143A7F"/>
    <w:rsid w:val="0015426B"/>
    <w:rsid w:val="00155E8B"/>
    <w:rsid w:val="0016706B"/>
    <w:rsid w:val="00170653"/>
    <w:rsid w:val="00171321"/>
    <w:rsid w:val="00175FFD"/>
    <w:rsid w:val="001767A5"/>
    <w:rsid w:val="001823A3"/>
    <w:rsid w:val="0019045C"/>
    <w:rsid w:val="001A110A"/>
    <w:rsid w:val="001A11A4"/>
    <w:rsid w:val="001B50DE"/>
    <w:rsid w:val="001C7D24"/>
    <w:rsid w:val="001D3674"/>
    <w:rsid w:val="001D7903"/>
    <w:rsid w:val="001D7D67"/>
    <w:rsid w:val="001D7E17"/>
    <w:rsid w:val="001E256D"/>
    <w:rsid w:val="001E6297"/>
    <w:rsid w:val="001F2332"/>
    <w:rsid w:val="001F5E2B"/>
    <w:rsid w:val="00211B62"/>
    <w:rsid w:val="00217CDF"/>
    <w:rsid w:val="00224DEB"/>
    <w:rsid w:val="0022526A"/>
    <w:rsid w:val="0023112D"/>
    <w:rsid w:val="00254FE4"/>
    <w:rsid w:val="002572F0"/>
    <w:rsid w:val="00257ABB"/>
    <w:rsid w:val="00264033"/>
    <w:rsid w:val="002835FB"/>
    <w:rsid w:val="002914CD"/>
    <w:rsid w:val="002974A5"/>
    <w:rsid w:val="002A2A62"/>
    <w:rsid w:val="002A3906"/>
    <w:rsid w:val="002A3AB6"/>
    <w:rsid w:val="002A6260"/>
    <w:rsid w:val="002A67C1"/>
    <w:rsid w:val="002B3237"/>
    <w:rsid w:val="002B5C03"/>
    <w:rsid w:val="002B7B5F"/>
    <w:rsid w:val="002C3DF8"/>
    <w:rsid w:val="002C5C2A"/>
    <w:rsid w:val="002C7AC4"/>
    <w:rsid w:val="002D00FD"/>
    <w:rsid w:val="002E2621"/>
    <w:rsid w:val="002E3A1E"/>
    <w:rsid w:val="002E6DAB"/>
    <w:rsid w:val="002F0FD0"/>
    <w:rsid w:val="00316093"/>
    <w:rsid w:val="00317F14"/>
    <w:rsid w:val="003217A5"/>
    <w:rsid w:val="003218B7"/>
    <w:rsid w:val="003232D9"/>
    <w:rsid w:val="00324B8A"/>
    <w:rsid w:val="00332724"/>
    <w:rsid w:val="0034111F"/>
    <w:rsid w:val="003520AB"/>
    <w:rsid w:val="0037701A"/>
    <w:rsid w:val="003846F1"/>
    <w:rsid w:val="00385F57"/>
    <w:rsid w:val="003903B0"/>
    <w:rsid w:val="003A69C0"/>
    <w:rsid w:val="003B5FC7"/>
    <w:rsid w:val="003C1A14"/>
    <w:rsid w:val="003C5197"/>
    <w:rsid w:val="003D18BA"/>
    <w:rsid w:val="003D65BE"/>
    <w:rsid w:val="003E2573"/>
    <w:rsid w:val="003E2978"/>
    <w:rsid w:val="003E4C89"/>
    <w:rsid w:val="003E7EFE"/>
    <w:rsid w:val="003F05DB"/>
    <w:rsid w:val="003F088E"/>
    <w:rsid w:val="00400523"/>
    <w:rsid w:val="00403B91"/>
    <w:rsid w:val="00407649"/>
    <w:rsid w:val="0043542F"/>
    <w:rsid w:val="00440934"/>
    <w:rsid w:val="0044626F"/>
    <w:rsid w:val="00452307"/>
    <w:rsid w:val="00453CB2"/>
    <w:rsid w:val="00482A92"/>
    <w:rsid w:val="004843FA"/>
    <w:rsid w:val="00490848"/>
    <w:rsid w:val="004A6009"/>
    <w:rsid w:val="004B2D47"/>
    <w:rsid w:val="004B3160"/>
    <w:rsid w:val="004B5142"/>
    <w:rsid w:val="004B7C94"/>
    <w:rsid w:val="004E1384"/>
    <w:rsid w:val="004E6758"/>
    <w:rsid w:val="004F221A"/>
    <w:rsid w:val="004F578F"/>
    <w:rsid w:val="004F760A"/>
    <w:rsid w:val="00507F3F"/>
    <w:rsid w:val="00512D83"/>
    <w:rsid w:val="00530AD7"/>
    <w:rsid w:val="00535532"/>
    <w:rsid w:val="005453F4"/>
    <w:rsid w:val="005509E9"/>
    <w:rsid w:val="00551FC5"/>
    <w:rsid w:val="00552A5F"/>
    <w:rsid w:val="00566054"/>
    <w:rsid w:val="0058741D"/>
    <w:rsid w:val="0059057E"/>
    <w:rsid w:val="00595A96"/>
    <w:rsid w:val="005B3931"/>
    <w:rsid w:val="005B4804"/>
    <w:rsid w:val="005B7B4D"/>
    <w:rsid w:val="005D725D"/>
    <w:rsid w:val="005E43D1"/>
    <w:rsid w:val="005F3D27"/>
    <w:rsid w:val="00610923"/>
    <w:rsid w:val="006161E9"/>
    <w:rsid w:val="00616948"/>
    <w:rsid w:val="00616E75"/>
    <w:rsid w:val="00637287"/>
    <w:rsid w:val="00647197"/>
    <w:rsid w:val="0065524E"/>
    <w:rsid w:val="00664B9D"/>
    <w:rsid w:val="00666837"/>
    <w:rsid w:val="0067671C"/>
    <w:rsid w:val="006A3AE1"/>
    <w:rsid w:val="006A61CB"/>
    <w:rsid w:val="006B3017"/>
    <w:rsid w:val="006E799C"/>
    <w:rsid w:val="006F35CE"/>
    <w:rsid w:val="006F5C08"/>
    <w:rsid w:val="0070124F"/>
    <w:rsid w:val="0070185C"/>
    <w:rsid w:val="00702315"/>
    <w:rsid w:val="00705BB5"/>
    <w:rsid w:val="00726D52"/>
    <w:rsid w:val="00736AA7"/>
    <w:rsid w:val="00737027"/>
    <w:rsid w:val="00742A0A"/>
    <w:rsid w:val="00754549"/>
    <w:rsid w:val="00762930"/>
    <w:rsid w:val="0076655E"/>
    <w:rsid w:val="007804BC"/>
    <w:rsid w:val="00793B9B"/>
    <w:rsid w:val="00795A8A"/>
    <w:rsid w:val="007B42F3"/>
    <w:rsid w:val="007B4400"/>
    <w:rsid w:val="007B7E4C"/>
    <w:rsid w:val="007D33AD"/>
    <w:rsid w:val="007D6476"/>
    <w:rsid w:val="007F05E4"/>
    <w:rsid w:val="007F2080"/>
    <w:rsid w:val="008015D8"/>
    <w:rsid w:val="00801E82"/>
    <w:rsid w:val="008116B2"/>
    <w:rsid w:val="00814023"/>
    <w:rsid w:val="008143BF"/>
    <w:rsid w:val="00816D1E"/>
    <w:rsid w:val="008208E3"/>
    <w:rsid w:val="008341DC"/>
    <w:rsid w:val="008342CF"/>
    <w:rsid w:val="00835A75"/>
    <w:rsid w:val="008371F7"/>
    <w:rsid w:val="00843E47"/>
    <w:rsid w:val="00844B91"/>
    <w:rsid w:val="00861688"/>
    <w:rsid w:val="008640F6"/>
    <w:rsid w:val="00865559"/>
    <w:rsid w:val="00870C8C"/>
    <w:rsid w:val="008857EC"/>
    <w:rsid w:val="0089153C"/>
    <w:rsid w:val="008A1EAF"/>
    <w:rsid w:val="008B7AE8"/>
    <w:rsid w:val="008C24F1"/>
    <w:rsid w:val="008D05D3"/>
    <w:rsid w:val="008D6B14"/>
    <w:rsid w:val="008E3272"/>
    <w:rsid w:val="008E547B"/>
    <w:rsid w:val="008F1E99"/>
    <w:rsid w:val="008F2DCD"/>
    <w:rsid w:val="008F3342"/>
    <w:rsid w:val="008F7F07"/>
    <w:rsid w:val="00900CDC"/>
    <w:rsid w:val="00900EFF"/>
    <w:rsid w:val="00902207"/>
    <w:rsid w:val="00903C8A"/>
    <w:rsid w:val="00906B92"/>
    <w:rsid w:val="00923E68"/>
    <w:rsid w:val="00925DDA"/>
    <w:rsid w:val="00926C40"/>
    <w:rsid w:val="0092742D"/>
    <w:rsid w:val="00931972"/>
    <w:rsid w:val="00951487"/>
    <w:rsid w:val="009615C7"/>
    <w:rsid w:val="0096496A"/>
    <w:rsid w:val="0096581E"/>
    <w:rsid w:val="00965E74"/>
    <w:rsid w:val="00974E55"/>
    <w:rsid w:val="00975910"/>
    <w:rsid w:val="00991B7A"/>
    <w:rsid w:val="00997981"/>
    <w:rsid w:val="009A0BB3"/>
    <w:rsid w:val="009A563A"/>
    <w:rsid w:val="009A6132"/>
    <w:rsid w:val="009B6334"/>
    <w:rsid w:val="009C11C1"/>
    <w:rsid w:val="009D0D86"/>
    <w:rsid w:val="009D203D"/>
    <w:rsid w:val="009D33B0"/>
    <w:rsid w:val="009D3660"/>
    <w:rsid w:val="009E2F3A"/>
    <w:rsid w:val="009E3726"/>
    <w:rsid w:val="009F0921"/>
    <w:rsid w:val="009F6F48"/>
    <w:rsid w:val="00A13655"/>
    <w:rsid w:val="00A219D2"/>
    <w:rsid w:val="00A25E5A"/>
    <w:rsid w:val="00A76ABC"/>
    <w:rsid w:val="00A8268A"/>
    <w:rsid w:val="00A85596"/>
    <w:rsid w:val="00AA4146"/>
    <w:rsid w:val="00AA542E"/>
    <w:rsid w:val="00AA5702"/>
    <w:rsid w:val="00AA77C2"/>
    <w:rsid w:val="00AB0115"/>
    <w:rsid w:val="00AB21FD"/>
    <w:rsid w:val="00AB3500"/>
    <w:rsid w:val="00AB77F2"/>
    <w:rsid w:val="00AC6216"/>
    <w:rsid w:val="00AC68B5"/>
    <w:rsid w:val="00AD0A5F"/>
    <w:rsid w:val="00AD4CB5"/>
    <w:rsid w:val="00AE46E4"/>
    <w:rsid w:val="00B01551"/>
    <w:rsid w:val="00B30B14"/>
    <w:rsid w:val="00B33CAD"/>
    <w:rsid w:val="00B45947"/>
    <w:rsid w:val="00B50016"/>
    <w:rsid w:val="00B5031A"/>
    <w:rsid w:val="00B52357"/>
    <w:rsid w:val="00B52E1C"/>
    <w:rsid w:val="00B544A3"/>
    <w:rsid w:val="00B548A9"/>
    <w:rsid w:val="00B6069D"/>
    <w:rsid w:val="00B729A1"/>
    <w:rsid w:val="00B839BC"/>
    <w:rsid w:val="00B94BFF"/>
    <w:rsid w:val="00BB0B59"/>
    <w:rsid w:val="00BB1105"/>
    <w:rsid w:val="00BB5FF0"/>
    <w:rsid w:val="00BC7C83"/>
    <w:rsid w:val="00BD003A"/>
    <w:rsid w:val="00BD4792"/>
    <w:rsid w:val="00BE3184"/>
    <w:rsid w:val="00BF5601"/>
    <w:rsid w:val="00C0140E"/>
    <w:rsid w:val="00C1157A"/>
    <w:rsid w:val="00C12B9F"/>
    <w:rsid w:val="00C2230F"/>
    <w:rsid w:val="00C30001"/>
    <w:rsid w:val="00C30BEF"/>
    <w:rsid w:val="00C34156"/>
    <w:rsid w:val="00C60163"/>
    <w:rsid w:val="00C61CD0"/>
    <w:rsid w:val="00C64AB4"/>
    <w:rsid w:val="00C77A05"/>
    <w:rsid w:val="00C8417B"/>
    <w:rsid w:val="00C94093"/>
    <w:rsid w:val="00CA4204"/>
    <w:rsid w:val="00CC04EB"/>
    <w:rsid w:val="00CC1C8A"/>
    <w:rsid w:val="00CC365E"/>
    <w:rsid w:val="00CF0AAB"/>
    <w:rsid w:val="00D0161E"/>
    <w:rsid w:val="00D06C80"/>
    <w:rsid w:val="00D10DCE"/>
    <w:rsid w:val="00D14BB3"/>
    <w:rsid w:val="00D20AF9"/>
    <w:rsid w:val="00D3073E"/>
    <w:rsid w:val="00D40D36"/>
    <w:rsid w:val="00D62ACF"/>
    <w:rsid w:val="00D700D3"/>
    <w:rsid w:val="00D70839"/>
    <w:rsid w:val="00D7217D"/>
    <w:rsid w:val="00D843FD"/>
    <w:rsid w:val="00D86C8B"/>
    <w:rsid w:val="00D90DE3"/>
    <w:rsid w:val="00D92AD2"/>
    <w:rsid w:val="00D93E26"/>
    <w:rsid w:val="00DA1567"/>
    <w:rsid w:val="00DA5B84"/>
    <w:rsid w:val="00DA5BA9"/>
    <w:rsid w:val="00DB66F4"/>
    <w:rsid w:val="00DD0F6E"/>
    <w:rsid w:val="00E001A4"/>
    <w:rsid w:val="00E02C38"/>
    <w:rsid w:val="00E02F2C"/>
    <w:rsid w:val="00E112C2"/>
    <w:rsid w:val="00E172C8"/>
    <w:rsid w:val="00E22347"/>
    <w:rsid w:val="00E22399"/>
    <w:rsid w:val="00E25A32"/>
    <w:rsid w:val="00E31303"/>
    <w:rsid w:val="00E34998"/>
    <w:rsid w:val="00E35F66"/>
    <w:rsid w:val="00E71DE3"/>
    <w:rsid w:val="00E75934"/>
    <w:rsid w:val="00E76756"/>
    <w:rsid w:val="00E93C7A"/>
    <w:rsid w:val="00E94103"/>
    <w:rsid w:val="00EA61E5"/>
    <w:rsid w:val="00EB678E"/>
    <w:rsid w:val="00EC3E99"/>
    <w:rsid w:val="00ED24EF"/>
    <w:rsid w:val="00ED5AB3"/>
    <w:rsid w:val="00EE7A4D"/>
    <w:rsid w:val="00F0666D"/>
    <w:rsid w:val="00F467A6"/>
    <w:rsid w:val="00F53DDF"/>
    <w:rsid w:val="00F81733"/>
    <w:rsid w:val="00F85B4C"/>
    <w:rsid w:val="00F90CC9"/>
    <w:rsid w:val="00F93AD4"/>
    <w:rsid w:val="00FA7490"/>
    <w:rsid w:val="00FA7781"/>
    <w:rsid w:val="00FB0610"/>
    <w:rsid w:val="00FC3566"/>
    <w:rsid w:val="00FC43D6"/>
    <w:rsid w:val="00FD56C2"/>
    <w:rsid w:val="00FE1A53"/>
    <w:rsid w:val="00FF6F7B"/>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2638"/>
  <w15:chartTrackingRefBased/>
  <w15:docId w15:val="{21C4FBB3-C5B5-41C9-BC92-2E4A5152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3B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903B0"/>
    <w:pPr>
      <w:jc w:val="center"/>
    </w:pPr>
    <w:rPr>
      <w:b/>
      <w:sz w:val="28"/>
      <w:szCs w:val="20"/>
    </w:rPr>
  </w:style>
  <w:style w:type="character" w:customStyle="1" w:styleId="SubtitleChar">
    <w:name w:val="Subtitle Char"/>
    <w:basedOn w:val="DefaultParagraphFont"/>
    <w:link w:val="Subtitle"/>
    <w:rsid w:val="003903B0"/>
    <w:rPr>
      <w:rFonts w:ascii="Times New Roman" w:eastAsia="Times New Roman" w:hAnsi="Times New Roman" w:cs="Times New Roman"/>
      <w:b/>
      <w:sz w:val="28"/>
      <w:szCs w:val="20"/>
      <w:lang w:val="en-US"/>
    </w:rPr>
  </w:style>
  <w:style w:type="paragraph" w:styleId="ListParagraph">
    <w:name w:val="List Paragraph"/>
    <w:basedOn w:val="Normal"/>
    <w:link w:val="ListParagraphChar"/>
    <w:uiPriority w:val="34"/>
    <w:qFormat/>
    <w:rsid w:val="003903B0"/>
    <w:pPr>
      <w:ind w:left="720"/>
      <w:contextualSpacing/>
    </w:pPr>
  </w:style>
  <w:style w:type="paragraph" w:customStyle="1" w:styleId="Default">
    <w:name w:val="Default"/>
    <w:rsid w:val="003903B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903B0"/>
    <w:pPr>
      <w:tabs>
        <w:tab w:val="center" w:pos="4680"/>
        <w:tab w:val="right" w:pos="9360"/>
      </w:tabs>
      <w:spacing w:after="200" w:line="276" w:lineRule="auto"/>
    </w:pPr>
    <w:rPr>
      <w:rFonts w:ascii="Calibri" w:eastAsia="Calibri" w:hAnsi="Calibri"/>
      <w:sz w:val="22"/>
      <w:szCs w:val="22"/>
      <w:lang w:val="en-TT"/>
    </w:rPr>
  </w:style>
  <w:style w:type="character" w:customStyle="1" w:styleId="HeaderChar">
    <w:name w:val="Header Char"/>
    <w:basedOn w:val="DefaultParagraphFont"/>
    <w:link w:val="Header"/>
    <w:rsid w:val="003903B0"/>
    <w:rPr>
      <w:rFonts w:ascii="Calibri" w:eastAsia="Calibri" w:hAnsi="Calibri" w:cs="Times New Roman"/>
    </w:rPr>
  </w:style>
  <w:style w:type="character" w:customStyle="1" w:styleId="ListParagraphChar">
    <w:name w:val="List Paragraph Char"/>
    <w:link w:val="ListParagraph"/>
    <w:uiPriority w:val="34"/>
    <w:locked/>
    <w:rsid w:val="003903B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01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55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Leslie-Ann Browne</dc:creator>
  <cp:keywords/>
  <dc:description/>
  <cp:lastModifiedBy>Daniella O'Connor</cp:lastModifiedBy>
  <cp:revision>5</cp:revision>
  <dcterms:created xsi:type="dcterms:W3CDTF">2021-10-11T22:52:00Z</dcterms:created>
  <dcterms:modified xsi:type="dcterms:W3CDTF">2021-11-25T14:44:00Z</dcterms:modified>
</cp:coreProperties>
</file>