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AC57" w14:textId="77777777" w:rsidR="004D4A2E" w:rsidRPr="002F1B70" w:rsidRDefault="004D4A2E" w:rsidP="0026758B">
      <w:pPr>
        <w:pStyle w:val="Title"/>
      </w:pPr>
      <w:r w:rsidRPr="002F1B70">
        <w:rPr>
          <w:noProof/>
          <w:lang w:val="en-US" w:eastAsia="en-US"/>
        </w:rPr>
        <w:drawing>
          <wp:inline distT="0" distB="0" distL="0" distR="0" wp14:anchorId="4AF070B1" wp14:editId="084D54BF">
            <wp:extent cx="1005840" cy="95324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523" cy="969052"/>
                    </a:xfrm>
                    <a:prstGeom prst="rect">
                      <a:avLst/>
                    </a:prstGeom>
                    <a:noFill/>
                    <a:ln>
                      <a:noFill/>
                    </a:ln>
                  </pic:spPr>
                </pic:pic>
              </a:graphicData>
            </a:graphic>
          </wp:inline>
        </w:drawing>
      </w:r>
    </w:p>
    <w:p w14:paraId="62BD5674" w14:textId="77777777" w:rsidR="004D4A2E" w:rsidRPr="002F1B70" w:rsidRDefault="004D4A2E" w:rsidP="004D4A2E">
      <w:pPr>
        <w:jc w:val="center"/>
        <w:rPr>
          <w:b/>
          <w:bCs/>
          <w:sz w:val="22"/>
          <w:szCs w:val="22"/>
        </w:rPr>
      </w:pPr>
    </w:p>
    <w:p w14:paraId="14AA909C" w14:textId="77777777" w:rsidR="004D4A2E" w:rsidRPr="002A328F" w:rsidRDefault="004D4A2E" w:rsidP="004D4A2E">
      <w:pPr>
        <w:pStyle w:val="Title"/>
        <w:outlineLvl w:val="0"/>
        <w:rPr>
          <w:noProof/>
          <w:sz w:val="32"/>
          <w:szCs w:val="32"/>
        </w:rPr>
      </w:pPr>
      <w:r w:rsidRPr="002A328F">
        <w:rPr>
          <w:noProof/>
          <w:sz w:val="32"/>
          <w:szCs w:val="32"/>
        </w:rPr>
        <w:t xml:space="preserve">STAFF RECRUITMENT </w:t>
      </w:r>
    </w:p>
    <w:p w14:paraId="6E7A7CCC" w14:textId="77777777" w:rsidR="00104FC1" w:rsidRPr="00904BFA" w:rsidRDefault="00104FC1" w:rsidP="004D4A2E">
      <w:pPr>
        <w:pStyle w:val="Title"/>
        <w:outlineLvl w:val="0"/>
        <w:rPr>
          <w:noProof/>
          <w:sz w:val="22"/>
          <w:szCs w:val="22"/>
        </w:rPr>
      </w:pPr>
    </w:p>
    <w:p w14:paraId="377FEB99" w14:textId="4884E3EC" w:rsidR="004550B0" w:rsidRPr="008D74F6" w:rsidRDefault="00532DB6" w:rsidP="00BE7C97">
      <w:pPr>
        <w:pStyle w:val="BodyText"/>
        <w:ind w:left="1418" w:right="1422"/>
        <w:jc w:val="center"/>
        <w:rPr>
          <w:szCs w:val="22"/>
        </w:rPr>
      </w:pPr>
      <w:r w:rsidRPr="008D74F6">
        <w:rPr>
          <w:szCs w:val="22"/>
        </w:rPr>
        <w:t xml:space="preserve">Trinidad and Tobago Securities and Exchange Commission invites applications for the </w:t>
      </w:r>
      <w:r w:rsidRPr="00E855BF">
        <w:rPr>
          <w:szCs w:val="22"/>
        </w:rPr>
        <w:t xml:space="preserve">following </w:t>
      </w:r>
      <w:r w:rsidR="00F03832">
        <w:rPr>
          <w:szCs w:val="22"/>
        </w:rPr>
        <w:t>three (3) year contract</w:t>
      </w:r>
      <w:r w:rsidR="0000586A" w:rsidRPr="00E855BF">
        <w:rPr>
          <w:szCs w:val="22"/>
        </w:rPr>
        <w:t xml:space="preserve"> </w:t>
      </w:r>
      <w:r w:rsidRPr="00E855BF">
        <w:rPr>
          <w:szCs w:val="22"/>
        </w:rPr>
        <w:t>position</w:t>
      </w:r>
      <w:r w:rsidR="00DE6433" w:rsidRPr="00E855BF">
        <w:rPr>
          <w:szCs w:val="22"/>
        </w:rPr>
        <w:t>:</w:t>
      </w:r>
    </w:p>
    <w:p w14:paraId="69B64646" w14:textId="417E139D" w:rsidR="004550B0" w:rsidRPr="00A62BF3" w:rsidRDefault="004550B0" w:rsidP="004550B0">
      <w:pPr>
        <w:tabs>
          <w:tab w:val="center" w:pos="4680"/>
          <w:tab w:val="right" w:pos="9360"/>
        </w:tabs>
        <w:rPr>
          <w:b/>
          <w:noProof/>
          <w:color w:val="548DD4" w:themeColor="text2" w:themeTint="99"/>
          <w:sz w:val="22"/>
          <w:szCs w:val="22"/>
        </w:rPr>
      </w:pPr>
      <w:bookmarkStart w:id="0" w:name="_Hlk64289067"/>
    </w:p>
    <w:bookmarkEnd w:id="0"/>
    <w:p w14:paraId="45664011" w14:textId="7ADE604D" w:rsidR="008478CC" w:rsidRPr="00E855BF" w:rsidRDefault="00437A87" w:rsidP="00EC3B7B">
      <w:pPr>
        <w:pStyle w:val="Subtitle"/>
        <w:rPr>
          <w:noProof/>
          <w:color w:val="548DD4" w:themeColor="text2" w:themeTint="99"/>
          <w:sz w:val="28"/>
          <w:szCs w:val="24"/>
          <w:u w:val="single"/>
        </w:rPr>
      </w:pPr>
      <w:r>
        <w:rPr>
          <w:noProof/>
          <w:color w:val="548DD4" w:themeColor="text2" w:themeTint="99"/>
          <w:sz w:val="28"/>
          <w:szCs w:val="24"/>
          <w:u w:val="single"/>
        </w:rPr>
        <w:t>CORPORATE SECRETAR</w:t>
      </w:r>
      <w:r w:rsidR="00F03832">
        <w:rPr>
          <w:noProof/>
          <w:color w:val="548DD4" w:themeColor="text2" w:themeTint="99"/>
          <w:sz w:val="28"/>
          <w:szCs w:val="24"/>
          <w:u w:val="single"/>
        </w:rPr>
        <w:t>Y</w:t>
      </w:r>
    </w:p>
    <w:p w14:paraId="695E4617" w14:textId="313434A5" w:rsidR="00E855BF" w:rsidRPr="00E855BF" w:rsidRDefault="00E855BF" w:rsidP="00EC3B7B">
      <w:pPr>
        <w:pStyle w:val="Subtitle"/>
        <w:rPr>
          <w:noProof/>
          <w:color w:val="548DD4" w:themeColor="text2" w:themeTint="99"/>
          <w:sz w:val="28"/>
          <w:szCs w:val="24"/>
          <w:u w:val="single"/>
        </w:rPr>
      </w:pPr>
      <w:r w:rsidRPr="00E855BF">
        <w:rPr>
          <w:noProof/>
          <w:color w:val="548DD4" w:themeColor="text2" w:themeTint="99"/>
          <w:sz w:val="28"/>
          <w:szCs w:val="24"/>
          <w:u w:val="single"/>
        </w:rPr>
        <w:t xml:space="preserve">IN THE </w:t>
      </w:r>
      <w:r w:rsidR="00437A87">
        <w:rPr>
          <w:noProof/>
          <w:color w:val="548DD4" w:themeColor="text2" w:themeTint="99"/>
          <w:sz w:val="28"/>
          <w:szCs w:val="24"/>
          <w:u w:val="single"/>
        </w:rPr>
        <w:t>CORPORATE SECRETARIAT DEPARTMENT</w:t>
      </w:r>
    </w:p>
    <w:p w14:paraId="051E7D81" w14:textId="77777777" w:rsidR="00EC3B7B" w:rsidRDefault="00EC3B7B" w:rsidP="00B04AE0">
      <w:pPr>
        <w:tabs>
          <w:tab w:val="center" w:pos="4680"/>
          <w:tab w:val="right" w:pos="9360"/>
        </w:tabs>
        <w:rPr>
          <w:b/>
          <w:noProof/>
          <w:color w:val="548DD4" w:themeColor="text2" w:themeTint="99"/>
          <w:szCs w:val="22"/>
        </w:rPr>
      </w:pPr>
    </w:p>
    <w:p w14:paraId="0C8A6ED1" w14:textId="77777777" w:rsidR="00E855BF" w:rsidRDefault="00E855BF" w:rsidP="00B04AE0">
      <w:pPr>
        <w:tabs>
          <w:tab w:val="center" w:pos="4680"/>
          <w:tab w:val="right" w:pos="9360"/>
        </w:tabs>
        <w:rPr>
          <w:b/>
          <w:noProof/>
          <w:color w:val="548DD4" w:themeColor="text2" w:themeTint="99"/>
          <w:szCs w:val="22"/>
        </w:rPr>
      </w:pPr>
    </w:p>
    <w:p w14:paraId="23A941D9" w14:textId="77777777" w:rsidR="00E855BF" w:rsidRPr="00A62BF3" w:rsidRDefault="00E855BF" w:rsidP="00B04AE0">
      <w:pPr>
        <w:tabs>
          <w:tab w:val="center" w:pos="4680"/>
          <w:tab w:val="right" w:pos="9360"/>
        </w:tabs>
        <w:rPr>
          <w:b/>
          <w:noProof/>
          <w:color w:val="548DD4" w:themeColor="text2" w:themeTint="99"/>
          <w:szCs w:val="22"/>
        </w:rPr>
      </w:pPr>
    </w:p>
    <w:p w14:paraId="3B094A7F" w14:textId="77777777" w:rsidR="002F0560" w:rsidRPr="008B602E" w:rsidRDefault="002F0560" w:rsidP="00242A1A">
      <w:pPr>
        <w:pStyle w:val="Heading3"/>
        <w:numPr>
          <w:ilvl w:val="0"/>
          <w:numId w:val="1"/>
        </w:numPr>
        <w:rPr>
          <w:rFonts w:ascii="Times New Roman" w:hAnsi="Times New Roman" w:cs="Times New Roman"/>
          <w:b/>
          <w:color w:val="548DD4" w:themeColor="text2" w:themeTint="99"/>
          <w:szCs w:val="22"/>
        </w:rPr>
      </w:pPr>
      <w:r w:rsidRPr="008B602E">
        <w:rPr>
          <w:rFonts w:ascii="Times New Roman" w:hAnsi="Times New Roman" w:cs="Times New Roman"/>
          <w:b/>
          <w:color w:val="548DD4" w:themeColor="text2" w:themeTint="99"/>
          <w:szCs w:val="22"/>
        </w:rPr>
        <w:t>Job Summary</w:t>
      </w:r>
    </w:p>
    <w:p w14:paraId="2D26D00E" w14:textId="3C067D58" w:rsidR="002F0560" w:rsidRPr="008B602E" w:rsidRDefault="002F0560" w:rsidP="002F0560">
      <w:pPr>
        <w:rPr>
          <w:color w:val="000000"/>
          <w:szCs w:val="22"/>
          <w:u w:color="000000"/>
        </w:rPr>
      </w:pPr>
    </w:p>
    <w:p w14:paraId="62F6FAE3" w14:textId="23958C61" w:rsidR="00EC3B7B" w:rsidRDefault="00437A87" w:rsidP="00F03832">
      <w:pPr>
        <w:ind w:left="426"/>
        <w:jc w:val="both"/>
        <w:rPr>
          <w:szCs w:val="22"/>
          <w:lang w:val="en-GB"/>
        </w:rPr>
      </w:pPr>
      <w:r w:rsidRPr="00437A87">
        <w:t>The Corporate Secretary performs the full range of governance functions in support of the Board of Commissioners and members of the Executive.  As the head of the Corporate Secretariat Department the Corporate Secretary leads and manages the Department by providing support, coordination, facilitation and recording of the activities of the Board of Commissioners and Board Committees.</w:t>
      </w:r>
    </w:p>
    <w:p w14:paraId="27C20653" w14:textId="77777777" w:rsidR="00E855BF" w:rsidRPr="008B602E" w:rsidRDefault="00E855BF" w:rsidP="00DE6433">
      <w:pPr>
        <w:jc w:val="both"/>
        <w:rPr>
          <w:szCs w:val="22"/>
          <w:lang w:val="en-GB"/>
        </w:rPr>
      </w:pPr>
    </w:p>
    <w:p w14:paraId="450882B3" w14:textId="77777777" w:rsidR="009E3B9B" w:rsidRPr="008B602E" w:rsidRDefault="009E3B9B" w:rsidP="00242A1A">
      <w:pPr>
        <w:pStyle w:val="Heading3"/>
        <w:numPr>
          <w:ilvl w:val="0"/>
          <w:numId w:val="1"/>
        </w:numPr>
        <w:rPr>
          <w:rFonts w:ascii="Times New Roman" w:hAnsi="Times New Roman" w:cs="Times New Roman"/>
          <w:b/>
          <w:color w:val="548DD4" w:themeColor="text2" w:themeTint="99"/>
          <w:szCs w:val="22"/>
        </w:rPr>
      </w:pPr>
      <w:r w:rsidRPr="008B602E">
        <w:rPr>
          <w:rFonts w:ascii="Times New Roman" w:hAnsi="Times New Roman" w:cs="Times New Roman"/>
          <w:b/>
          <w:color w:val="548DD4" w:themeColor="text2" w:themeTint="99"/>
          <w:szCs w:val="22"/>
        </w:rPr>
        <w:t xml:space="preserve">Responsibilities / Accountabilities </w:t>
      </w:r>
    </w:p>
    <w:p w14:paraId="728AF028" w14:textId="77777777" w:rsidR="009E3B9B" w:rsidRPr="008B602E" w:rsidRDefault="009E3B9B" w:rsidP="00E855BF">
      <w:pPr>
        <w:pStyle w:val="Default"/>
        <w:spacing w:line="276" w:lineRule="auto"/>
        <w:rPr>
          <w:color w:val="auto"/>
          <w:szCs w:val="22"/>
        </w:rPr>
      </w:pPr>
    </w:p>
    <w:p w14:paraId="100A17E3" w14:textId="590D087E" w:rsidR="00437A87" w:rsidRPr="00437A87" w:rsidRDefault="00437A87" w:rsidP="00F03832">
      <w:pPr>
        <w:spacing w:line="276" w:lineRule="auto"/>
        <w:ind w:left="426"/>
        <w:contextualSpacing/>
        <w:jc w:val="both"/>
        <w:rPr>
          <w:b/>
          <w:bCs/>
          <w:color w:val="000000"/>
          <w:lang w:eastAsia="en-US"/>
        </w:rPr>
      </w:pPr>
      <w:r w:rsidRPr="00437A87">
        <w:rPr>
          <w:b/>
          <w:bCs/>
          <w:color w:val="000000"/>
          <w:lang w:eastAsia="en-US"/>
        </w:rPr>
        <w:t>Governance</w:t>
      </w:r>
    </w:p>
    <w:p w14:paraId="656134D6" w14:textId="77777777" w:rsidR="00437A87" w:rsidRPr="00437A87" w:rsidRDefault="00437A87" w:rsidP="00F03832">
      <w:pPr>
        <w:pStyle w:val="ListParagraph"/>
        <w:numPr>
          <w:ilvl w:val="0"/>
          <w:numId w:val="31"/>
        </w:numPr>
        <w:spacing w:line="276" w:lineRule="auto"/>
        <w:ind w:left="851"/>
        <w:jc w:val="both"/>
        <w:rPr>
          <w:color w:val="000000"/>
          <w:lang w:val="en-GB" w:eastAsia="en-US"/>
        </w:rPr>
      </w:pPr>
      <w:r w:rsidRPr="00437A87">
        <w:rPr>
          <w:color w:val="000000"/>
          <w:lang w:val="en-GB" w:eastAsia="en-US"/>
        </w:rPr>
        <w:t>Ensures that all Board and Committee meetings are properly constituted, convened and conducted.</w:t>
      </w:r>
    </w:p>
    <w:p w14:paraId="5D34D5B9" w14:textId="77777777" w:rsidR="00437A87" w:rsidRPr="00437A87" w:rsidRDefault="00437A87" w:rsidP="00F03832">
      <w:pPr>
        <w:pStyle w:val="ListParagraph"/>
        <w:numPr>
          <w:ilvl w:val="0"/>
          <w:numId w:val="31"/>
        </w:numPr>
        <w:spacing w:line="276" w:lineRule="auto"/>
        <w:ind w:left="851"/>
        <w:jc w:val="both"/>
        <w:rPr>
          <w:color w:val="000000"/>
          <w:lang w:val="en-GB" w:eastAsia="en-US"/>
        </w:rPr>
      </w:pPr>
      <w:r w:rsidRPr="00437A87">
        <w:rPr>
          <w:color w:val="000000"/>
          <w:lang w:val="en-GB" w:eastAsia="en-US"/>
        </w:rPr>
        <w:t>Ensures that the records of the Commission, such as lists of Commissioners, Board, Committee meeting minutes, and other official records, are maintained as required by law and made available as necessary in accordance with access policies and procedures.</w:t>
      </w:r>
    </w:p>
    <w:p w14:paraId="4EF80E32" w14:textId="77777777" w:rsidR="00437A87" w:rsidRPr="00437A87" w:rsidRDefault="00437A87" w:rsidP="00F03832">
      <w:pPr>
        <w:pStyle w:val="ListParagraph"/>
        <w:numPr>
          <w:ilvl w:val="0"/>
          <w:numId w:val="31"/>
        </w:numPr>
        <w:spacing w:line="276" w:lineRule="auto"/>
        <w:ind w:left="851"/>
        <w:contextualSpacing/>
        <w:jc w:val="both"/>
        <w:rPr>
          <w:color w:val="000000"/>
          <w:lang w:val="en-GB" w:eastAsia="en-US"/>
        </w:rPr>
      </w:pPr>
      <w:r w:rsidRPr="00437A87">
        <w:rPr>
          <w:color w:val="000000"/>
          <w:lang w:val="en-GB" w:eastAsia="en-US"/>
        </w:rPr>
        <w:t xml:space="preserve">Serves as a signing officer for certain documents, correspondence, applications and reports as directed by the Board and the Executive. </w:t>
      </w:r>
    </w:p>
    <w:p w14:paraId="1D4574E6" w14:textId="77777777" w:rsidR="00437A87" w:rsidRPr="00437A87" w:rsidRDefault="00437A87" w:rsidP="00F03832">
      <w:pPr>
        <w:pStyle w:val="ListParagraph"/>
        <w:numPr>
          <w:ilvl w:val="0"/>
          <w:numId w:val="31"/>
        </w:numPr>
        <w:spacing w:line="276" w:lineRule="auto"/>
        <w:ind w:left="851"/>
        <w:contextualSpacing/>
        <w:jc w:val="both"/>
        <w:rPr>
          <w:color w:val="000000"/>
          <w:lang w:val="en-GB" w:eastAsia="en-US"/>
        </w:rPr>
      </w:pPr>
      <w:r w:rsidRPr="00437A87">
        <w:rPr>
          <w:color w:val="000000"/>
          <w:lang w:val="en-GB" w:eastAsia="en-US"/>
        </w:rPr>
        <w:t>Develops governance documents and corporate policies applicable to the operations of Board of Commissioners and Board Committees.</w:t>
      </w:r>
    </w:p>
    <w:p w14:paraId="0CA26224" w14:textId="77777777" w:rsidR="00437A87" w:rsidRPr="00437A87" w:rsidRDefault="00437A87" w:rsidP="00F03832">
      <w:pPr>
        <w:pStyle w:val="ListParagraph"/>
        <w:numPr>
          <w:ilvl w:val="0"/>
          <w:numId w:val="31"/>
        </w:numPr>
        <w:spacing w:line="276" w:lineRule="auto"/>
        <w:ind w:left="851"/>
        <w:contextualSpacing/>
        <w:jc w:val="both"/>
        <w:rPr>
          <w:color w:val="000000"/>
          <w:lang w:val="en-GB" w:eastAsia="en-US"/>
        </w:rPr>
      </w:pPr>
      <w:r w:rsidRPr="00437A87">
        <w:rPr>
          <w:color w:val="000000"/>
          <w:lang w:val="en-GB" w:eastAsia="en-US"/>
        </w:rPr>
        <w:t>Provides guidance and information to the Board on all matters related to corporate governance, including orientation, sensitization and professional development of Board Commissioners.</w:t>
      </w:r>
    </w:p>
    <w:p w14:paraId="2F95F86E" w14:textId="77777777" w:rsidR="00437A87" w:rsidRDefault="00437A87" w:rsidP="00437A87">
      <w:pPr>
        <w:spacing w:line="276" w:lineRule="auto"/>
        <w:ind w:left="207"/>
        <w:contextualSpacing/>
        <w:jc w:val="both"/>
        <w:rPr>
          <w:color w:val="000000"/>
          <w:lang w:eastAsia="en-US"/>
        </w:rPr>
      </w:pPr>
    </w:p>
    <w:p w14:paraId="1FB76B46" w14:textId="77777777" w:rsidR="00A0019D" w:rsidRDefault="00A0019D" w:rsidP="00437A87">
      <w:pPr>
        <w:spacing w:line="276" w:lineRule="auto"/>
        <w:ind w:left="207"/>
        <w:contextualSpacing/>
        <w:jc w:val="both"/>
        <w:rPr>
          <w:color w:val="000000"/>
          <w:lang w:eastAsia="en-US"/>
        </w:rPr>
      </w:pPr>
    </w:p>
    <w:p w14:paraId="143E69EE" w14:textId="77777777" w:rsidR="00437A87" w:rsidRDefault="00437A87" w:rsidP="00437A87">
      <w:pPr>
        <w:spacing w:line="276" w:lineRule="auto"/>
        <w:ind w:left="207"/>
        <w:contextualSpacing/>
        <w:jc w:val="both"/>
        <w:rPr>
          <w:color w:val="000000"/>
          <w:lang w:eastAsia="en-US"/>
        </w:rPr>
      </w:pPr>
    </w:p>
    <w:p w14:paraId="7052AE37" w14:textId="61F24754" w:rsidR="00437A87" w:rsidRDefault="00437A87" w:rsidP="00F03832">
      <w:pPr>
        <w:spacing w:line="276" w:lineRule="auto"/>
        <w:ind w:left="207" w:firstLine="219"/>
        <w:contextualSpacing/>
        <w:jc w:val="both"/>
        <w:rPr>
          <w:b/>
          <w:bCs/>
          <w:color w:val="000000"/>
          <w:lang w:eastAsia="en-US"/>
        </w:rPr>
      </w:pPr>
      <w:r>
        <w:rPr>
          <w:b/>
          <w:bCs/>
          <w:color w:val="000000"/>
          <w:lang w:eastAsia="en-US"/>
        </w:rPr>
        <w:lastRenderedPageBreak/>
        <w:t>Policy Development</w:t>
      </w:r>
    </w:p>
    <w:p w14:paraId="2D9E47A2" w14:textId="77777777" w:rsidR="00437A87" w:rsidRPr="00437A87" w:rsidRDefault="00437A87" w:rsidP="00F03832">
      <w:pPr>
        <w:numPr>
          <w:ilvl w:val="0"/>
          <w:numId w:val="34"/>
        </w:numPr>
        <w:spacing w:line="276" w:lineRule="auto"/>
        <w:ind w:left="851"/>
        <w:contextualSpacing/>
        <w:jc w:val="both"/>
        <w:rPr>
          <w:color w:val="000000"/>
          <w:lang w:val="en-GB" w:eastAsia="en-US"/>
        </w:rPr>
      </w:pPr>
      <w:r w:rsidRPr="00437A87">
        <w:rPr>
          <w:color w:val="000000"/>
          <w:lang w:val="en-GB" w:eastAsia="en-US"/>
        </w:rPr>
        <w:t>Oversees the development and implementation of policies and guidelines to support the Corporate Secretary function.</w:t>
      </w:r>
    </w:p>
    <w:p w14:paraId="2C2ED6A3" w14:textId="77777777" w:rsidR="00437A87" w:rsidRPr="00437A87" w:rsidRDefault="00437A87" w:rsidP="00F03832">
      <w:pPr>
        <w:numPr>
          <w:ilvl w:val="0"/>
          <w:numId w:val="34"/>
        </w:numPr>
        <w:spacing w:line="276" w:lineRule="auto"/>
        <w:ind w:left="851"/>
        <w:contextualSpacing/>
        <w:jc w:val="both"/>
        <w:rPr>
          <w:color w:val="000000"/>
          <w:lang w:val="en-GB" w:eastAsia="en-US"/>
        </w:rPr>
      </w:pPr>
      <w:r w:rsidRPr="00437A87">
        <w:rPr>
          <w:color w:val="000000"/>
          <w:lang w:val="en-GB" w:eastAsia="en-US"/>
        </w:rPr>
        <w:t>Update and implementation of policies and guidelines to support the Commission’s governance framework inclusive of the Commission’s Code of Conduct.</w:t>
      </w:r>
    </w:p>
    <w:p w14:paraId="7B54846E" w14:textId="77777777" w:rsidR="00437A87" w:rsidRPr="00437A87" w:rsidRDefault="00437A87" w:rsidP="00437A87">
      <w:pPr>
        <w:spacing w:line="276" w:lineRule="auto"/>
        <w:ind w:left="207"/>
        <w:contextualSpacing/>
        <w:jc w:val="both"/>
        <w:rPr>
          <w:color w:val="000000"/>
          <w:lang w:eastAsia="en-US"/>
        </w:rPr>
      </w:pPr>
    </w:p>
    <w:p w14:paraId="350AF7C3" w14:textId="12936F4C" w:rsidR="00F419D1" w:rsidRDefault="00F419D1" w:rsidP="00F03832">
      <w:pPr>
        <w:spacing w:line="276" w:lineRule="auto"/>
        <w:ind w:firstLine="426"/>
        <w:contextualSpacing/>
        <w:jc w:val="both"/>
        <w:rPr>
          <w:b/>
          <w:bCs/>
          <w:color w:val="000000"/>
          <w:lang w:eastAsia="en-US"/>
        </w:rPr>
      </w:pPr>
      <w:r w:rsidRPr="00437A87">
        <w:rPr>
          <w:color w:val="000000"/>
          <w:lang w:eastAsia="en-US"/>
        </w:rPr>
        <w:t xml:space="preserve"> </w:t>
      </w:r>
      <w:r w:rsidR="00437A87">
        <w:rPr>
          <w:b/>
          <w:bCs/>
          <w:color w:val="000000"/>
          <w:lang w:eastAsia="en-US"/>
        </w:rPr>
        <w:t>Panel Hearings</w:t>
      </w:r>
    </w:p>
    <w:p w14:paraId="7527B20E" w14:textId="77777777" w:rsidR="00437A87" w:rsidRDefault="00437A87" w:rsidP="00F03832">
      <w:pPr>
        <w:pStyle w:val="ListParagraph"/>
        <w:numPr>
          <w:ilvl w:val="0"/>
          <w:numId w:val="34"/>
        </w:numPr>
        <w:autoSpaceDE w:val="0"/>
        <w:autoSpaceDN w:val="0"/>
        <w:adjustRightInd w:val="0"/>
        <w:ind w:left="851"/>
        <w:contextualSpacing/>
        <w:jc w:val="both"/>
      </w:pPr>
      <w:r w:rsidRPr="008F5E35">
        <w:t>Oversees the development and implementation of policies and guidelines to support</w:t>
      </w:r>
      <w:r>
        <w:t xml:space="preserve"> the Corporate Secretary function</w:t>
      </w:r>
      <w:r w:rsidRPr="008F5E35">
        <w:t>.</w:t>
      </w:r>
    </w:p>
    <w:p w14:paraId="0EE6AD0A" w14:textId="77777777" w:rsidR="00437A87" w:rsidRDefault="00437A87" w:rsidP="00F03832">
      <w:pPr>
        <w:pStyle w:val="ListParagraph"/>
        <w:numPr>
          <w:ilvl w:val="0"/>
          <w:numId w:val="34"/>
        </w:numPr>
        <w:autoSpaceDE w:val="0"/>
        <w:autoSpaceDN w:val="0"/>
        <w:adjustRightInd w:val="0"/>
        <w:ind w:left="851"/>
        <w:contextualSpacing/>
        <w:jc w:val="both"/>
      </w:pPr>
      <w:r>
        <w:t>Update</w:t>
      </w:r>
      <w:r w:rsidRPr="008F5E35">
        <w:t xml:space="preserve"> and implementation of policies and guidelines to support</w:t>
      </w:r>
      <w:r>
        <w:t xml:space="preserve"> the Commission’s governance framework inclusive of the Commission’s Code of Conduct</w:t>
      </w:r>
      <w:r w:rsidRPr="008F5E35">
        <w:t>.</w:t>
      </w:r>
    </w:p>
    <w:p w14:paraId="7180B7C1" w14:textId="77777777" w:rsidR="009A2F12" w:rsidRDefault="009A2F12" w:rsidP="00F03832">
      <w:pPr>
        <w:numPr>
          <w:ilvl w:val="0"/>
          <w:numId w:val="34"/>
        </w:numPr>
        <w:ind w:left="851" w:right="7"/>
        <w:jc w:val="both"/>
      </w:pPr>
      <w:r>
        <w:t xml:space="preserve">Ensure submissions made to the Panels are lodged and circulated in keeping with the Panels’ Terms of Reference. </w:t>
      </w:r>
    </w:p>
    <w:p w14:paraId="72166836" w14:textId="77777777" w:rsidR="009A2F12" w:rsidRPr="008F5E35" w:rsidRDefault="009A2F12" w:rsidP="00F03832">
      <w:pPr>
        <w:numPr>
          <w:ilvl w:val="0"/>
          <w:numId w:val="34"/>
        </w:numPr>
        <w:ind w:left="851" w:right="7"/>
        <w:jc w:val="both"/>
      </w:pPr>
      <w:r>
        <w:t xml:space="preserve">Based on the decisions made by the Panels - Prepare, distribute and maintain records of Orders.   </w:t>
      </w:r>
    </w:p>
    <w:p w14:paraId="46C45618" w14:textId="77777777" w:rsidR="00437A87" w:rsidRDefault="00437A87" w:rsidP="00437A87">
      <w:pPr>
        <w:spacing w:line="276" w:lineRule="auto"/>
        <w:contextualSpacing/>
        <w:jc w:val="both"/>
        <w:rPr>
          <w:b/>
          <w:bCs/>
          <w:color w:val="000000"/>
          <w:lang w:eastAsia="en-US"/>
        </w:rPr>
      </w:pPr>
    </w:p>
    <w:p w14:paraId="616020E7" w14:textId="37586733" w:rsidR="009A2F12" w:rsidRDefault="009A2F12" w:rsidP="00F03832">
      <w:pPr>
        <w:spacing w:line="276" w:lineRule="auto"/>
        <w:ind w:left="567"/>
        <w:contextualSpacing/>
        <w:jc w:val="both"/>
        <w:rPr>
          <w:b/>
          <w:bCs/>
          <w:color w:val="000000"/>
          <w:lang w:eastAsia="en-US"/>
        </w:rPr>
      </w:pPr>
      <w:r>
        <w:rPr>
          <w:b/>
          <w:bCs/>
          <w:color w:val="000000"/>
          <w:lang w:eastAsia="en-US"/>
        </w:rPr>
        <w:t>Corporate Secretarial</w:t>
      </w:r>
    </w:p>
    <w:p w14:paraId="41D9F149"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Works with members of the Executive in the collection, review and quality assurance of all documentation and materials sent from management to the Board and Board Committees. </w:t>
      </w:r>
    </w:p>
    <w:p w14:paraId="610A4633"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 xml:space="preserve">Attends and records Minutes and action items at Board and Committee meetings. </w:t>
      </w:r>
    </w:p>
    <w:p w14:paraId="6233F3B5"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 xml:space="preserve">Supports the Executive by undertaking appropriate post-meeting action to ensure implementation of decisions arising from meetings. </w:t>
      </w:r>
    </w:p>
    <w:p w14:paraId="7E195725"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 xml:space="preserve">Directs action items to members of management and ensures action item are submitted to the Board of Commissioners and Board Committees within established timelines.   </w:t>
      </w:r>
    </w:p>
    <w:p w14:paraId="2D3111F7"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 xml:space="preserve">Facilitates communication with Board members between meetings, by coordinating the administration of updates to the Board and Board Committees. </w:t>
      </w:r>
    </w:p>
    <w:p w14:paraId="4E8AFD62"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 xml:space="preserve">Undertakes research and provides contextual information about past decisions, </w:t>
      </w:r>
      <w:proofErr w:type="gramStart"/>
      <w:r w:rsidRPr="0080461E">
        <w:rPr>
          <w:color w:val="000000"/>
          <w:lang w:val="en-GB" w:eastAsia="en-US"/>
        </w:rPr>
        <w:t>as well as,</w:t>
      </w:r>
      <w:proofErr w:type="gramEnd"/>
      <w:r w:rsidRPr="0080461E">
        <w:rPr>
          <w:color w:val="000000"/>
          <w:lang w:val="en-GB" w:eastAsia="en-US"/>
        </w:rPr>
        <w:t xml:space="preserve"> prepares briefing materials and resolutions for review and consideration by the Board and Board Committees.</w:t>
      </w:r>
    </w:p>
    <w:p w14:paraId="45276B79"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 xml:space="preserve">Satisfy all administrative and other statutory requirements concerning Board Members.  </w:t>
      </w:r>
    </w:p>
    <w:p w14:paraId="1452D6C1"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 xml:space="preserve">Establishes and maintains proper record keeping systems for Board related matters. </w:t>
      </w:r>
    </w:p>
    <w:p w14:paraId="49055CC4"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Supports the Board and Board Committees by maintaining a strong rapport with various central agencies of government and other stakeholders.</w:t>
      </w:r>
    </w:p>
    <w:p w14:paraId="6DC49CF3" w14:textId="77777777" w:rsidR="0080461E" w:rsidRPr="0080461E" w:rsidRDefault="0080461E" w:rsidP="00F03832">
      <w:pPr>
        <w:numPr>
          <w:ilvl w:val="0"/>
          <w:numId w:val="36"/>
        </w:numPr>
        <w:tabs>
          <w:tab w:val="clear" w:pos="720"/>
        </w:tabs>
        <w:spacing w:line="276" w:lineRule="auto"/>
        <w:ind w:left="851"/>
        <w:contextualSpacing/>
        <w:jc w:val="both"/>
        <w:rPr>
          <w:color w:val="000000"/>
          <w:lang w:val="en-GB" w:eastAsia="en-US"/>
        </w:rPr>
      </w:pPr>
      <w:r w:rsidRPr="0080461E">
        <w:rPr>
          <w:color w:val="000000"/>
          <w:lang w:val="en-GB" w:eastAsia="en-US"/>
        </w:rPr>
        <w:t xml:space="preserve">Provides direction to and manage the performance of staff within the Corporate Secretariat Department by assigning and supervising work and output of the Legal Counsel and the Legal Assistant. </w:t>
      </w:r>
    </w:p>
    <w:p w14:paraId="2AC5F6A3" w14:textId="77777777" w:rsidR="0080461E" w:rsidRPr="0080461E" w:rsidRDefault="0080461E" w:rsidP="00F03832">
      <w:pPr>
        <w:numPr>
          <w:ilvl w:val="0"/>
          <w:numId w:val="34"/>
        </w:numPr>
        <w:spacing w:line="276" w:lineRule="auto"/>
        <w:ind w:left="851"/>
        <w:contextualSpacing/>
        <w:jc w:val="both"/>
        <w:rPr>
          <w:color w:val="000000"/>
          <w:lang w:val="en-GB" w:eastAsia="en-US"/>
        </w:rPr>
      </w:pPr>
      <w:r w:rsidRPr="0080461E">
        <w:rPr>
          <w:color w:val="000000"/>
          <w:lang w:val="en-GB" w:eastAsia="en-US"/>
        </w:rPr>
        <w:t>Undertake any other duties and responsibilities as may be required within the remit of the Corporate Secretary function.</w:t>
      </w:r>
    </w:p>
    <w:p w14:paraId="0D3052C6" w14:textId="77777777" w:rsidR="009A2F12" w:rsidRPr="0080461E" w:rsidRDefault="009A2F12" w:rsidP="00437A87">
      <w:pPr>
        <w:spacing w:line="276" w:lineRule="auto"/>
        <w:contextualSpacing/>
        <w:jc w:val="both"/>
        <w:rPr>
          <w:color w:val="000000"/>
          <w:lang w:eastAsia="en-US"/>
        </w:rPr>
      </w:pPr>
    </w:p>
    <w:p w14:paraId="23480518" w14:textId="77777777" w:rsidR="00E855BF" w:rsidRDefault="00E855BF" w:rsidP="00EC3B7B">
      <w:pPr>
        <w:contextualSpacing/>
        <w:jc w:val="both"/>
        <w:rPr>
          <w:rFonts w:eastAsiaTheme="minorHAnsi"/>
          <w:bCs/>
          <w:szCs w:val="22"/>
          <w:lang w:val="en-US"/>
        </w:rPr>
      </w:pPr>
    </w:p>
    <w:p w14:paraId="29901CB9" w14:textId="054A065F" w:rsidR="009E3B9B" w:rsidRPr="00EC3B7B" w:rsidRDefault="00BB1F7C" w:rsidP="00242A1A">
      <w:pPr>
        <w:pStyle w:val="Default"/>
        <w:numPr>
          <w:ilvl w:val="0"/>
          <w:numId w:val="1"/>
        </w:numPr>
        <w:rPr>
          <w:color w:val="auto"/>
          <w:szCs w:val="22"/>
        </w:rPr>
      </w:pPr>
      <w:bookmarkStart w:id="1" w:name="_Hlk81993515"/>
      <w:r w:rsidRPr="00EC3B7B">
        <w:rPr>
          <w:rFonts w:eastAsiaTheme="majorEastAsia"/>
          <w:b/>
          <w:color w:val="548DD4" w:themeColor="text2" w:themeTint="99"/>
          <w:szCs w:val="22"/>
          <w:lang w:eastAsia="en-TT"/>
        </w:rPr>
        <w:lastRenderedPageBreak/>
        <w:t xml:space="preserve">Minimum </w:t>
      </w:r>
      <w:r w:rsidR="009E3B9B" w:rsidRPr="00EC3B7B">
        <w:rPr>
          <w:rFonts w:eastAsiaTheme="majorEastAsia"/>
          <w:b/>
          <w:color w:val="548DD4" w:themeColor="text2" w:themeTint="99"/>
          <w:szCs w:val="22"/>
          <w:lang w:eastAsia="en-TT"/>
        </w:rPr>
        <w:t>Qualifications and Experience</w:t>
      </w:r>
    </w:p>
    <w:bookmarkEnd w:id="1"/>
    <w:p w14:paraId="22FAFAB0" w14:textId="77777777" w:rsidR="008478CC" w:rsidRPr="00EC3B7B" w:rsidRDefault="008478CC" w:rsidP="008478CC">
      <w:pPr>
        <w:pStyle w:val="Default"/>
        <w:jc w:val="both"/>
        <w:rPr>
          <w:sz w:val="28"/>
        </w:rPr>
      </w:pPr>
    </w:p>
    <w:p w14:paraId="0CF0A9AD" w14:textId="19E4973D" w:rsidR="00E855BF" w:rsidRDefault="0080461E" w:rsidP="007E76B5">
      <w:pPr>
        <w:pStyle w:val="Subtitle"/>
        <w:numPr>
          <w:ilvl w:val="0"/>
          <w:numId w:val="26"/>
        </w:numPr>
        <w:tabs>
          <w:tab w:val="clear" w:pos="360"/>
          <w:tab w:val="num" w:pos="709"/>
        </w:tabs>
        <w:spacing w:line="276" w:lineRule="auto"/>
        <w:ind w:left="426" w:hanging="284"/>
        <w:jc w:val="both"/>
        <w:rPr>
          <w:b w:val="0"/>
          <w:bCs/>
        </w:rPr>
      </w:pPr>
      <w:r>
        <w:rPr>
          <w:b w:val="0"/>
          <w:bCs/>
        </w:rPr>
        <w:t>Professional certification as a Chartered Corporate Secretary.</w:t>
      </w:r>
    </w:p>
    <w:p w14:paraId="756355CD" w14:textId="5A263300" w:rsidR="0080461E" w:rsidRDefault="00F03832" w:rsidP="007E76B5">
      <w:pPr>
        <w:pStyle w:val="Subtitle"/>
        <w:numPr>
          <w:ilvl w:val="0"/>
          <w:numId w:val="26"/>
        </w:numPr>
        <w:tabs>
          <w:tab w:val="clear" w:pos="360"/>
          <w:tab w:val="num" w:pos="709"/>
        </w:tabs>
        <w:spacing w:line="276" w:lineRule="auto"/>
        <w:ind w:left="426" w:hanging="284"/>
        <w:jc w:val="both"/>
        <w:rPr>
          <w:b w:val="0"/>
          <w:bCs/>
        </w:rPr>
      </w:pPr>
      <w:r>
        <w:rPr>
          <w:b w:val="0"/>
          <w:bCs/>
        </w:rPr>
        <w:t>Ten</w:t>
      </w:r>
      <w:r w:rsidR="0080461E">
        <w:rPr>
          <w:b w:val="0"/>
          <w:bCs/>
        </w:rPr>
        <w:t xml:space="preserve"> </w:t>
      </w:r>
      <w:r>
        <w:rPr>
          <w:b w:val="0"/>
          <w:bCs/>
        </w:rPr>
        <w:t>(</w:t>
      </w:r>
      <w:r w:rsidR="0080461E">
        <w:rPr>
          <w:b w:val="0"/>
          <w:bCs/>
        </w:rPr>
        <w:t>10</w:t>
      </w:r>
      <w:r>
        <w:rPr>
          <w:b w:val="0"/>
          <w:bCs/>
        </w:rPr>
        <w:t>)</w:t>
      </w:r>
      <w:r w:rsidR="0080461E">
        <w:rPr>
          <w:b w:val="0"/>
          <w:bCs/>
        </w:rPr>
        <w:t xml:space="preserve"> years’ experience as a Corporate Secretary.</w:t>
      </w:r>
    </w:p>
    <w:p w14:paraId="40EB4824" w14:textId="7BB5C250" w:rsidR="0080461E" w:rsidRDefault="0080461E" w:rsidP="007E76B5">
      <w:pPr>
        <w:pStyle w:val="Subtitle"/>
        <w:numPr>
          <w:ilvl w:val="0"/>
          <w:numId w:val="26"/>
        </w:numPr>
        <w:tabs>
          <w:tab w:val="clear" w:pos="360"/>
          <w:tab w:val="num" w:pos="709"/>
        </w:tabs>
        <w:spacing w:line="276" w:lineRule="auto"/>
        <w:ind w:left="426" w:hanging="284"/>
        <w:jc w:val="both"/>
        <w:rPr>
          <w:b w:val="0"/>
          <w:bCs/>
        </w:rPr>
      </w:pPr>
      <w:r>
        <w:rPr>
          <w:b w:val="0"/>
          <w:bCs/>
        </w:rPr>
        <w:t>LLB. Degree and a Legal Education Certificate (LEC) qualification.</w:t>
      </w:r>
    </w:p>
    <w:p w14:paraId="35D99DC8" w14:textId="0854D8E7" w:rsidR="0080461E" w:rsidRPr="007E76B5" w:rsidRDefault="0080461E" w:rsidP="007E76B5">
      <w:pPr>
        <w:pStyle w:val="Subtitle"/>
        <w:numPr>
          <w:ilvl w:val="0"/>
          <w:numId w:val="26"/>
        </w:numPr>
        <w:tabs>
          <w:tab w:val="clear" w:pos="360"/>
          <w:tab w:val="num" w:pos="709"/>
        </w:tabs>
        <w:spacing w:line="276" w:lineRule="auto"/>
        <w:ind w:left="426" w:hanging="284"/>
        <w:jc w:val="both"/>
        <w:rPr>
          <w:b w:val="0"/>
          <w:bCs/>
        </w:rPr>
      </w:pPr>
      <w:r>
        <w:rPr>
          <w:b w:val="0"/>
          <w:bCs/>
        </w:rPr>
        <w:t xml:space="preserve">Any relevant equivalent combination of qualifications, training and experience. </w:t>
      </w:r>
    </w:p>
    <w:p w14:paraId="4D041996" w14:textId="77777777" w:rsidR="00B04AE0" w:rsidRDefault="00B04AE0" w:rsidP="008B6480">
      <w:pPr>
        <w:pStyle w:val="Default"/>
        <w:rPr>
          <w:rFonts w:eastAsiaTheme="majorEastAsia"/>
          <w:b/>
          <w:color w:val="548DD4" w:themeColor="text2" w:themeTint="99"/>
          <w:szCs w:val="22"/>
          <w:lang w:eastAsia="en-TT"/>
        </w:rPr>
      </w:pPr>
    </w:p>
    <w:p w14:paraId="4991FDF4" w14:textId="77777777" w:rsidR="00EC3B7B" w:rsidRDefault="00EC3B7B" w:rsidP="008B6480">
      <w:pPr>
        <w:pStyle w:val="Default"/>
        <w:rPr>
          <w:rFonts w:eastAsiaTheme="majorEastAsia"/>
          <w:b/>
          <w:color w:val="548DD4" w:themeColor="text2" w:themeTint="99"/>
          <w:szCs w:val="22"/>
          <w:lang w:eastAsia="en-TT"/>
        </w:rPr>
      </w:pPr>
    </w:p>
    <w:p w14:paraId="40E2587A" w14:textId="797E66AD" w:rsidR="00171DE5" w:rsidRPr="008B602E" w:rsidRDefault="00171DE5" w:rsidP="00242A1A">
      <w:pPr>
        <w:pStyle w:val="Default"/>
        <w:numPr>
          <w:ilvl w:val="0"/>
          <w:numId w:val="1"/>
        </w:numPr>
        <w:rPr>
          <w:color w:val="auto"/>
          <w:szCs w:val="22"/>
        </w:rPr>
      </w:pPr>
      <w:bookmarkStart w:id="2" w:name="_Hlk81993596"/>
      <w:r w:rsidRPr="008B602E">
        <w:rPr>
          <w:rFonts w:eastAsiaTheme="majorEastAsia"/>
          <w:b/>
          <w:color w:val="548DD4" w:themeColor="text2" w:themeTint="99"/>
          <w:szCs w:val="22"/>
          <w:lang w:eastAsia="en-TT"/>
        </w:rPr>
        <w:t>Competencies</w:t>
      </w:r>
    </w:p>
    <w:bookmarkEnd w:id="2"/>
    <w:p w14:paraId="0135F86E" w14:textId="77777777" w:rsidR="00171DE5" w:rsidRPr="008B602E" w:rsidRDefault="00171DE5" w:rsidP="00171DE5">
      <w:pPr>
        <w:pStyle w:val="Default"/>
        <w:ind w:left="360"/>
        <w:rPr>
          <w:color w:val="auto"/>
          <w:szCs w:val="22"/>
        </w:rPr>
      </w:pPr>
    </w:p>
    <w:tbl>
      <w:tblPr>
        <w:tblW w:w="9355" w:type="dxa"/>
        <w:tblInd w:w="2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6"/>
        <w:gridCol w:w="4819"/>
      </w:tblGrid>
      <w:tr w:rsidR="008478CC" w:rsidRPr="00E302EA" w14:paraId="09C22C55" w14:textId="77777777" w:rsidTr="0080461E">
        <w:trPr>
          <w:trHeight w:val="2834"/>
        </w:trPr>
        <w:tc>
          <w:tcPr>
            <w:tcW w:w="4536" w:type="dxa"/>
            <w:tcBorders>
              <w:top w:val="single" w:sz="4" w:space="0" w:color="auto"/>
              <w:left w:val="single" w:sz="4" w:space="0" w:color="auto"/>
              <w:bottom w:val="single" w:sz="4" w:space="0" w:color="auto"/>
              <w:right w:val="single" w:sz="4" w:space="0" w:color="auto"/>
            </w:tcBorders>
          </w:tcPr>
          <w:p w14:paraId="3B6485A3" w14:textId="2BE53A1C" w:rsidR="00845393" w:rsidRDefault="008478CC" w:rsidP="00EC3B7B">
            <w:pPr>
              <w:pStyle w:val="Subtitle"/>
              <w:tabs>
                <w:tab w:val="left" w:pos="720"/>
              </w:tabs>
              <w:spacing w:line="276" w:lineRule="auto"/>
              <w:jc w:val="both"/>
              <w:rPr>
                <w:szCs w:val="22"/>
              </w:rPr>
            </w:pPr>
            <w:r w:rsidRPr="00F968E0">
              <w:rPr>
                <w:szCs w:val="22"/>
              </w:rPr>
              <w:t>Technical Competencies:</w:t>
            </w:r>
          </w:p>
          <w:p w14:paraId="5F26101D" w14:textId="77777777" w:rsidR="00F03832" w:rsidRPr="00F968E0" w:rsidRDefault="00F03832" w:rsidP="00EC3B7B">
            <w:pPr>
              <w:pStyle w:val="Subtitle"/>
              <w:tabs>
                <w:tab w:val="left" w:pos="720"/>
              </w:tabs>
              <w:spacing w:line="276" w:lineRule="auto"/>
              <w:jc w:val="both"/>
              <w:rPr>
                <w:szCs w:val="22"/>
              </w:rPr>
            </w:pPr>
          </w:p>
          <w:p w14:paraId="26BA0DF9" w14:textId="77777777" w:rsidR="0080461E" w:rsidRPr="0080461E" w:rsidRDefault="0080461E" w:rsidP="0080461E">
            <w:pPr>
              <w:numPr>
                <w:ilvl w:val="0"/>
                <w:numId w:val="27"/>
              </w:numPr>
              <w:tabs>
                <w:tab w:val="left" w:pos="720"/>
              </w:tabs>
              <w:spacing w:line="276" w:lineRule="auto"/>
              <w:rPr>
                <w:bCs/>
                <w:szCs w:val="24"/>
                <w:lang w:val="en-GB"/>
              </w:rPr>
            </w:pPr>
            <w:r w:rsidRPr="0080461E">
              <w:rPr>
                <w:bCs/>
                <w:szCs w:val="24"/>
                <w:lang w:val="en-GB"/>
              </w:rPr>
              <w:t>In-depth understanding of legal guidelines principles and framework that govern operations within the securities market would be an asset.</w:t>
            </w:r>
          </w:p>
          <w:p w14:paraId="4AB6D549" w14:textId="77777777" w:rsidR="0080461E" w:rsidRPr="0080461E" w:rsidRDefault="0080461E" w:rsidP="0080461E">
            <w:pPr>
              <w:numPr>
                <w:ilvl w:val="0"/>
                <w:numId w:val="27"/>
              </w:numPr>
              <w:tabs>
                <w:tab w:val="left" w:pos="720"/>
              </w:tabs>
              <w:spacing w:line="276" w:lineRule="auto"/>
              <w:rPr>
                <w:bCs/>
                <w:szCs w:val="24"/>
                <w:lang w:val="en-GB"/>
              </w:rPr>
            </w:pPr>
            <w:r w:rsidRPr="0080461E">
              <w:rPr>
                <w:bCs/>
                <w:szCs w:val="24"/>
                <w:lang w:val="en-GB"/>
              </w:rPr>
              <w:t>In-depth understanding of corporate governance principles and practice.</w:t>
            </w:r>
          </w:p>
          <w:p w14:paraId="63212477" w14:textId="77777777" w:rsidR="0080461E" w:rsidRPr="0080461E" w:rsidRDefault="0080461E" w:rsidP="0080461E">
            <w:pPr>
              <w:numPr>
                <w:ilvl w:val="0"/>
                <w:numId w:val="27"/>
              </w:numPr>
              <w:tabs>
                <w:tab w:val="left" w:pos="720"/>
              </w:tabs>
              <w:spacing w:line="276" w:lineRule="auto"/>
              <w:rPr>
                <w:bCs/>
                <w:szCs w:val="24"/>
                <w:lang w:val="en-GB"/>
              </w:rPr>
            </w:pPr>
            <w:r w:rsidRPr="0080461E">
              <w:rPr>
                <w:bCs/>
                <w:szCs w:val="24"/>
                <w:lang w:val="en-GB"/>
              </w:rPr>
              <w:t>Proficiency in Microsoft Office Suite.</w:t>
            </w:r>
          </w:p>
          <w:p w14:paraId="79455EA9" w14:textId="53DED5B9" w:rsidR="002B3D3C" w:rsidRPr="00F968E0" w:rsidRDefault="002B3D3C" w:rsidP="0080461E">
            <w:pPr>
              <w:tabs>
                <w:tab w:val="left" w:pos="720"/>
              </w:tabs>
              <w:spacing w:line="276" w:lineRule="auto"/>
              <w:ind w:left="360"/>
              <w:rPr>
                <w:bCs/>
                <w:szCs w:val="24"/>
                <w:lang w:val="en-GB"/>
              </w:rPr>
            </w:pPr>
          </w:p>
        </w:tc>
        <w:tc>
          <w:tcPr>
            <w:tcW w:w="4819" w:type="dxa"/>
            <w:tcBorders>
              <w:top w:val="single" w:sz="4" w:space="0" w:color="auto"/>
              <w:left w:val="single" w:sz="4" w:space="0" w:color="auto"/>
              <w:bottom w:val="single" w:sz="4" w:space="0" w:color="auto"/>
              <w:right w:val="single" w:sz="4" w:space="0" w:color="auto"/>
            </w:tcBorders>
          </w:tcPr>
          <w:p w14:paraId="0A27B62A" w14:textId="13F31193" w:rsidR="00845393" w:rsidRDefault="008478CC" w:rsidP="00EC3B7B">
            <w:pPr>
              <w:pStyle w:val="Subtitle"/>
              <w:tabs>
                <w:tab w:val="left" w:pos="720"/>
              </w:tabs>
              <w:spacing w:line="276" w:lineRule="auto"/>
              <w:jc w:val="both"/>
              <w:rPr>
                <w:szCs w:val="22"/>
              </w:rPr>
            </w:pPr>
            <w:r w:rsidRPr="00F968E0">
              <w:rPr>
                <w:szCs w:val="22"/>
              </w:rPr>
              <w:t>Behavioural Competencies:</w:t>
            </w:r>
          </w:p>
          <w:p w14:paraId="3DEBBDDD" w14:textId="77777777" w:rsidR="00F03832" w:rsidRPr="00F968E0" w:rsidRDefault="00F03832" w:rsidP="00EC3B7B">
            <w:pPr>
              <w:pStyle w:val="Subtitle"/>
              <w:tabs>
                <w:tab w:val="left" w:pos="720"/>
              </w:tabs>
              <w:spacing w:line="276" w:lineRule="auto"/>
              <w:jc w:val="both"/>
              <w:rPr>
                <w:szCs w:val="22"/>
              </w:rPr>
            </w:pPr>
          </w:p>
          <w:p w14:paraId="42531E11" w14:textId="77777777" w:rsidR="0080461E" w:rsidRPr="0080461E" w:rsidRDefault="0080461E" w:rsidP="0080461E">
            <w:pPr>
              <w:numPr>
                <w:ilvl w:val="0"/>
                <w:numId w:val="29"/>
              </w:numPr>
              <w:spacing w:line="276" w:lineRule="auto"/>
              <w:rPr>
                <w:szCs w:val="22"/>
              </w:rPr>
            </w:pPr>
            <w:r w:rsidRPr="0080461E">
              <w:rPr>
                <w:szCs w:val="22"/>
              </w:rPr>
              <w:t>Sound character, credibility and integrity</w:t>
            </w:r>
          </w:p>
          <w:p w14:paraId="09B54520" w14:textId="77777777" w:rsidR="0080461E" w:rsidRPr="0080461E" w:rsidRDefault="0080461E" w:rsidP="0080461E">
            <w:pPr>
              <w:numPr>
                <w:ilvl w:val="0"/>
                <w:numId w:val="29"/>
              </w:numPr>
              <w:spacing w:line="276" w:lineRule="auto"/>
              <w:rPr>
                <w:szCs w:val="22"/>
              </w:rPr>
            </w:pPr>
            <w:r w:rsidRPr="0080461E">
              <w:rPr>
                <w:szCs w:val="22"/>
              </w:rPr>
              <w:t>Strong judgment, negotiating, and problem-solving skills</w:t>
            </w:r>
          </w:p>
          <w:p w14:paraId="0A299307" w14:textId="77777777" w:rsidR="0080461E" w:rsidRPr="0080461E" w:rsidRDefault="0080461E" w:rsidP="0080461E">
            <w:pPr>
              <w:numPr>
                <w:ilvl w:val="0"/>
                <w:numId w:val="29"/>
              </w:numPr>
              <w:spacing w:line="276" w:lineRule="auto"/>
              <w:rPr>
                <w:szCs w:val="22"/>
              </w:rPr>
            </w:pPr>
            <w:r w:rsidRPr="0080461E">
              <w:rPr>
                <w:szCs w:val="22"/>
              </w:rPr>
              <w:t>Exceptional oral and written communications skills</w:t>
            </w:r>
          </w:p>
          <w:p w14:paraId="77FA2212" w14:textId="77777777" w:rsidR="0080461E" w:rsidRPr="0080461E" w:rsidRDefault="0080461E" w:rsidP="0080461E">
            <w:pPr>
              <w:numPr>
                <w:ilvl w:val="0"/>
                <w:numId w:val="29"/>
              </w:numPr>
              <w:spacing w:line="276" w:lineRule="auto"/>
              <w:rPr>
                <w:szCs w:val="22"/>
              </w:rPr>
            </w:pPr>
            <w:r w:rsidRPr="0080461E">
              <w:rPr>
                <w:szCs w:val="22"/>
              </w:rPr>
              <w:t>The ability to work effectively with, and command the confidence and respect of, internal and external stakeholders</w:t>
            </w:r>
          </w:p>
          <w:p w14:paraId="51FA0506" w14:textId="77777777" w:rsidR="0080461E" w:rsidRPr="0080461E" w:rsidRDefault="0080461E" w:rsidP="0080461E">
            <w:pPr>
              <w:numPr>
                <w:ilvl w:val="0"/>
                <w:numId w:val="29"/>
              </w:numPr>
              <w:spacing w:line="276" w:lineRule="auto"/>
              <w:rPr>
                <w:szCs w:val="22"/>
              </w:rPr>
            </w:pPr>
            <w:r w:rsidRPr="0080461E">
              <w:rPr>
                <w:szCs w:val="22"/>
              </w:rPr>
              <w:t>Excellent organizational, administrative and time management skills</w:t>
            </w:r>
          </w:p>
          <w:p w14:paraId="513F7040" w14:textId="7F9F9403" w:rsidR="00F968E0" w:rsidRPr="00F968E0" w:rsidRDefault="0080461E" w:rsidP="0080461E">
            <w:pPr>
              <w:numPr>
                <w:ilvl w:val="0"/>
                <w:numId w:val="29"/>
              </w:numPr>
              <w:spacing w:line="276" w:lineRule="auto"/>
              <w:rPr>
                <w:sz w:val="22"/>
                <w:szCs w:val="22"/>
              </w:rPr>
            </w:pPr>
            <w:r w:rsidRPr="0080461E">
              <w:rPr>
                <w:szCs w:val="22"/>
              </w:rPr>
              <w:t>Excellent analytical and judgment skill.</w:t>
            </w:r>
          </w:p>
        </w:tc>
      </w:tr>
    </w:tbl>
    <w:p w14:paraId="2746EDD2" w14:textId="77777777" w:rsidR="00A428F4" w:rsidRDefault="00A428F4" w:rsidP="008B6480">
      <w:pPr>
        <w:pStyle w:val="Default"/>
        <w:rPr>
          <w:rFonts w:eastAsiaTheme="majorEastAsia"/>
          <w:b/>
          <w:color w:val="548DD4" w:themeColor="text2" w:themeTint="99"/>
          <w:szCs w:val="22"/>
          <w:lang w:eastAsia="en-TT"/>
        </w:rPr>
      </w:pPr>
    </w:p>
    <w:p w14:paraId="3A1E1A23" w14:textId="77777777" w:rsidR="0080461E" w:rsidRPr="008B602E" w:rsidRDefault="0080461E" w:rsidP="008B6480">
      <w:pPr>
        <w:pStyle w:val="Default"/>
        <w:rPr>
          <w:rFonts w:eastAsiaTheme="majorEastAsia"/>
          <w:b/>
          <w:color w:val="548DD4" w:themeColor="text2" w:themeTint="99"/>
          <w:szCs w:val="22"/>
          <w:lang w:eastAsia="en-TT"/>
        </w:rPr>
      </w:pPr>
    </w:p>
    <w:p w14:paraId="37272310" w14:textId="7CCA018A" w:rsidR="001E262A" w:rsidRPr="008B602E" w:rsidRDefault="001E262A" w:rsidP="00242A1A">
      <w:pPr>
        <w:pStyle w:val="Default"/>
        <w:numPr>
          <w:ilvl w:val="0"/>
          <w:numId w:val="1"/>
        </w:numPr>
        <w:rPr>
          <w:color w:val="auto"/>
          <w:szCs w:val="22"/>
        </w:rPr>
      </w:pPr>
      <w:r w:rsidRPr="008B602E">
        <w:rPr>
          <w:rFonts w:eastAsiaTheme="majorEastAsia"/>
          <w:b/>
          <w:color w:val="548DD4" w:themeColor="text2" w:themeTint="99"/>
          <w:szCs w:val="22"/>
          <w:lang w:eastAsia="en-TT"/>
        </w:rPr>
        <w:t>Key Contacts</w:t>
      </w:r>
    </w:p>
    <w:p w14:paraId="6CA9FDB2" w14:textId="50768B87" w:rsidR="001E262A" w:rsidRPr="008B602E" w:rsidRDefault="001E262A" w:rsidP="00D52626">
      <w:pPr>
        <w:pStyle w:val="Default"/>
        <w:jc w:val="both"/>
        <w:rPr>
          <w:color w:val="auto"/>
          <w:szCs w:val="22"/>
        </w:rPr>
      </w:pPr>
    </w:p>
    <w:p w14:paraId="37080852" w14:textId="79F5B1A1" w:rsidR="0080461E" w:rsidRDefault="0080461E" w:rsidP="0080461E">
      <w:pPr>
        <w:pStyle w:val="Default"/>
        <w:numPr>
          <w:ilvl w:val="0"/>
          <w:numId w:val="37"/>
        </w:numPr>
        <w:rPr>
          <w:rFonts w:eastAsia="Times New Roman"/>
          <w:color w:val="auto"/>
          <w:lang w:val="en-US"/>
        </w:rPr>
      </w:pPr>
      <w:r w:rsidRPr="0080461E">
        <w:rPr>
          <w:rFonts w:eastAsia="Times New Roman"/>
          <w:color w:val="auto"/>
          <w:lang w:val="en-US"/>
        </w:rPr>
        <w:t xml:space="preserve">Internal: Board of Commissioners, Chief Executive Officer, </w:t>
      </w:r>
      <w:r w:rsidR="00F03832">
        <w:rPr>
          <w:rFonts w:eastAsia="Times New Roman"/>
          <w:color w:val="auto"/>
          <w:lang w:val="en-US"/>
        </w:rPr>
        <w:t>o</w:t>
      </w:r>
      <w:r w:rsidRPr="0080461E">
        <w:rPr>
          <w:rFonts w:eastAsia="Times New Roman"/>
          <w:color w:val="auto"/>
          <w:lang w:val="en-US"/>
        </w:rPr>
        <w:t>ther members of the Executive Team, Divisional/Departmental Heads</w:t>
      </w:r>
      <w:r w:rsidR="00F03832">
        <w:rPr>
          <w:rFonts w:eastAsia="Times New Roman"/>
          <w:color w:val="auto"/>
          <w:lang w:val="en-US"/>
        </w:rPr>
        <w:t>.</w:t>
      </w:r>
    </w:p>
    <w:p w14:paraId="45C2960C" w14:textId="77777777" w:rsidR="00F03832" w:rsidRDefault="00F03832" w:rsidP="00F03832">
      <w:pPr>
        <w:pStyle w:val="Default"/>
        <w:ind w:left="720"/>
        <w:rPr>
          <w:rFonts w:eastAsia="Times New Roman"/>
          <w:color w:val="auto"/>
          <w:lang w:val="en-US"/>
        </w:rPr>
      </w:pPr>
    </w:p>
    <w:p w14:paraId="08FEB9F8" w14:textId="2DD22166" w:rsidR="00E855BF" w:rsidRPr="00F03832" w:rsidRDefault="0080461E" w:rsidP="00F03832">
      <w:pPr>
        <w:pStyle w:val="Default"/>
        <w:numPr>
          <w:ilvl w:val="0"/>
          <w:numId w:val="37"/>
        </w:numPr>
        <w:rPr>
          <w:rFonts w:eastAsia="Times New Roman"/>
          <w:color w:val="auto"/>
          <w:lang w:val="en-US"/>
        </w:rPr>
      </w:pPr>
      <w:r w:rsidRPr="00F03832">
        <w:rPr>
          <w:rFonts w:eastAsia="Times New Roman"/>
          <w:color w:val="auto"/>
          <w:lang w:val="en-US"/>
        </w:rPr>
        <w:t>External: Stakeholders: As directed by the Board of Commissioners and the Chief Executive Officer</w:t>
      </w:r>
    </w:p>
    <w:p w14:paraId="79DD46C9" w14:textId="77777777" w:rsidR="00E855BF" w:rsidRDefault="00E855BF" w:rsidP="003066BD">
      <w:pPr>
        <w:pStyle w:val="Default"/>
        <w:rPr>
          <w:rFonts w:eastAsiaTheme="majorEastAsia"/>
          <w:b/>
          <w:color w:val="548DD4" w:themeColor="text2" w:themeTint="99"/>
          <w:szCs w:val="22"/>
          <w:lang w:eastAsia="en-TT"/>
        </w:rPr>
      </w:pPr>
    </w:p>
    <w:p w14:paraId="3B1195DD" w14:textId="77777777" w:rsidR="0080461E" w:rsidRDefault="0080461E" w:rsidP="003066BD">
      <w:pPr>
        <w:pStyle w:val="Default"/>
        <w:rPr>
          <w:rFonts w:eastAsiaTheme="majorEastAsia"/>
          <w:b/>
          <w:color w:val="548DD4" w:themeColor="text2" w:themeTint="99"/>
          <w:szCs w:val="22"/>
          <w:lang w:eastAsia="en-TT"/>
        </w:rPr>
      </w:pPr>
    </w:p>
    <w:p w14:paraId="537ADCC5" w14:textId="77777777" w:rsidR="0080461E" w:rsidRDefault="0080461E" w:rsidP="003066BD">
      <w:pPr>
        <w:pStyle w:val="Default"/>
        <w:rPr>
          <w:rFonts w:eastAsiaTheme="majorEastAsia"/>
          <w:b/>
          <w:color w:val="548DD4" w:themeColor="text2" w:themeTint="99"/>
          <w:szCs w:val="22"/>
          <w:lang w:eastAsia="en-TT"/>
        </w:rPr>
      </w:pPr>
    </w:p>
    <w:p w14:paraId="2B7458CD" w14:textId="77777777" w:rsidR="0080461E" w:rsidRDefault="0080461E" w:rsidP="003066BD">
      <w:pPr>
        <w:pStyle w:val="Default"/>
        <w:rPr>
          <w:rFonts w:eastAsiaTheme="majorEastAsia"/>
          <w:b/>
          <w:color w:val="548DD4" w:themeColor="text2" w:themeTint="99"/>
          <w:szCs w:val="22"/>
          <w:lang w:eastAsia="en-TT"/>
        </w:rPr>
      </w:pPr>
    </w:p>
    <w:p w14:paraId="1D4E8C36" w14:textId="77777777" w:rsidR="0080461E" w:rsidRDefault="0080461E" w:rsidP="003066BD">
      <w:pPr>
        <w:pStyle w:val="Default"/>
        <w:rPr>
          <w:rFonts w:eastAsiaTheme="majorEastAsia"/>
          <w:b/>
          <w:color w:val="548DD4" w:themeColor="text2" w:themeTint="99"/>
          <w:szCs w:val="22"/>
          <w:lang w:eastAsia="en-TT"/>
        </w:rPr>
      </w:pPr>
    </w:p>
    <w:p w14:paraId="7D186642" w14:textId="77777777" w:rsidR="0080461E" w:rsidRDefault="0080461E" w:rsidP="003066BD">
      <w:pPr>
        <w:pStyle w:val="Default"/>
        <w:rPr>
          <w:rFonts w:eastAsiaTheme="majorEastAsia"/>
          <w:b/>
          <w:color w:val="548DD4" w:themeColor="text2" w:themeTint="99"/>
          <w:szCs w:val="22"/>
          <w:lang w:eastAsia="en-TT"/>
        </w:rPr>
      </w:pPr>
    </w:p>
    <w:p w14:paraId="2A5CE6F2" w14:textId="77777777" w:rsidR="0080461E" w:rsidRDefault="0080461E" w:rsidP="003066BD">
      <w:pPr>
        <w:pStyle w:val="Default"/>
        <w:rPr>
          <w:rFonts w:eastAsiaTheme="majorEastAsia"/>
          <w:b/>
          <w:color w:val="548DD4" w:themeColor="text2" w:themeTint="99"/>
          <w:szCs w:val="22"/>
          <w:lang w:eastAsia="en-TT"/>
        </w:rPr>
      </w:pPr>
    </w:p>
    <w:p w14:paraId="34C6AE0F" w14:textId="77777777" w:rsidR="0080461E" w:rsidRDefault="0080461E" w:rsidP="003066BD">
      <w:pPr>
        <w:pStyle w:val="Default"/>
        <w:rPr>
          <w:rFonts w:eastAsiaTheme="majorEastAsia"/>
          <w:b/>
          <w:color w:val="548DD4" w:themeColor="text2" w:themeTint="99"/>
          <w:szCs w:val="22"/>
          <w:lang w:eastAsia="en-TT"/>
        </w:rPr>
      </w:pPr>
    </w:p>
    <w:p w14:paraId="1D43011E" w14:textId="77777777" w:rsidR="0080461E" w:rsidRDefault="0080461E" w:rsidP="003066BD">
      <w:pPr>
        <w:pStyle w:val="Default"/>
        <w:rPr>
          <w:rFonts w:eastAsiaTheme="majorEastAsia"/>
          <w:b/>
          <w:color w:val="548DD4" w:themeColor="text2" w:themeTint="99"/>
          <w:szCs w:val="22"/>
          <w:lang w:eastAsia="en-TT"/>
        </w:rPr>
      </w:pPr>
    </w:p>
    <w:p w14:paraId="36F5CF48" w14:textId="77777777" w:rsidR="00E855BF" w:rsidRPr="008B602E" w:rsidRDefault="00E855BF" w:rsidP="003066BD">
      <w:pPr>
        <w:pStyle w:val="Default"/>
        <w:rPr>
          <w:rFonts w:eastAsiaTheme="majorEastAsia"/>
          <w:b/>
          <w:color w:val="548DD4" w:themeColor="text2" w:themeTint="99"/>
          <w:szCs w:val="22"/>
          <w:lang w:eastAsia="en-TT"/>
        </w:rPr>
      </w:pPr>
    </w:p>
    <w:p w14:paraId="72A3E846" w14:textId="77777777" w:rsidR="004D4A2E" w:rsidRPr="008B602E" w:rsidRDefault="004D4A2E" w:rsidP="00BB6067">
      <w:pPr>
        <w:jc w:val="center"/>
        <w:rPr>
          <w:b/>
          <w:bCs/>
          <w:szCs w:val="22"/>
        </w:rPr>
      </w:pPr>
      <w:r w:rsidRPr="008B602E">
        <w:rPr>
          <w:b/>
          <w:bCs/>
          <w:szCs w:val="22"/>
        </w:rPr>
        <w:t>All applications should be forwarded under confidential cover and addressed as follows:</w:t>
      </w:r>
    </w:p>
    <w:p w14:paraId="1512B9CC" w14:textId="77777777" w:rsidR="004D4A2E" w:rsidRDefault="004D4A2E" w:rsidP="004D4A2E">
      <w:pPr>
        <w:jc w:val="center"/>
        <w:rPr>
          <w:b/>
          <w:bCs/>
          <w:szCs w:val="22"/>
        </w:rPr>
      </w:pPr>
    </w:p>
    <w:p w14:paraId="42AB14BA" w14:textId="77777777" w:rsidR="00A665F1" w:rsidRPr="008B602E" w:rsidRDefault="00A665F1" w:rsidP="004D4A2E">
      <w:pPr>
        <w:jc w:val="center"/>
        <w:rPr>
          <w:b/>
          <w:bCs/>
          <w:szCs w:val="22"/>
        </w:rPr>
      </w:pPr>
    </w:p>
    <w:p w14:paraId="0A6E8993" w14:textId="04CF5D93" w:rsidR="008B6480" w:rsidRPr="008B602E" w:rsidRDefault="00823F80" w:rsidP="008B6480">
      <w:pPr>
        <w:jc w:val="center"/>
        <w:outlineLvl w:val="0"/>
        <w:rPr>
          <w:b/>
          <w:bCs/>
          <w:szCs w:val="22"/>
          <w:u w:val="single"/>
        </w:rPr>
      </w:pPr>
      <w:r w:rsidRPr="00845393">
        <w:rPr>
          <w:b/>
          <w:bCs/>
          <w:szCs w:val="22"/>
          <w:u w:val="single"/>
        </w:rPr>
        <w:t>Vacancy</w:t>
      </w:r>
      <w:r w:rsidR="002F1B70" w:rsidRPr="00845393">
        <w:rPr>
          <w:b/>
          <w:bCs/>
          <w:szCs w:val="22"/>
          <w:u w:val="single"/>
        </w:rPr>
        <w:t xml:space="preserve"> </w:t>
      </w:r>
      <w:r w:rsidR="008F6729" w:rsidRPr="00845393">
        <w:rPr>
          <w:b/>
          <w:bCs/>
          <w:szCs w:val="22"/>
          <w:u w:val="single"/>
        </w:rPr>
        <w:t>–</w:t>
      </w:r>
      <w:r w:rsidR="00C94BB7" w:rsidRPr="00845393">
        <w:rPr>
          <w:b/>
          <w:bCs/>
          <w:szCs w:val="22"/>
          <w:u w:val="single"/>
        </w:rPr>
        <w:t xml:space="preserve"> </w:t>
      </w:r>
      <w:r w:rsidR="0080461E">
        <w:rPr>
          <w:b/>
          <w:bCs/>
          <w:szCs w:val="22"/>
          <w:u w:val="single"/>
        </w:rPr>
        <w:t>Corporate Secretary</w:t>
      </w:r>
      <w:r w:rsidR="00D75065">
        <w:rPr>
          <w:b/>
          <w:bCs/>
          <w:szCs w:val="22"/>
          <w:u w:val="single"/>
        </w:rPr>
        <w:t xml:space="preserve"> </w:t>
      </w:r>
    </w:p>
    <w:p w14:paraId="6F5AAFCB" w14:textId="77777777" w:rsidR="00EC3B7B" w:rsidRPr="008B602E" w:rsidRDefault="00EC3B7B" w:rsidP="00EC3B7B">
      <w:pPr>
        <w:outlineLvl w:val="0"/>
        <w:rPr>
          <w:b/>
          <w:bCs/>
          <w:szCs w:val="22"/>
          <w:u w:val="single"/>
        </w:rPr>
      </w:pPr>
    </w:p>
    <w:p w14:paraId="7F5B7914" w14:textId="7CB45165" w:rsidR="004D4A2E" w:rsidRPr="008B602E" w:rsidRDefault="008F6729" w:rsidP="004D4A2E">
      <w:pPr>
        <w:jc w:val="center"/>
        <w:outlineLvl w:val="0"/>
        <w:rPr>
          <w:b/>
          <w:bCs/>
          <w:szCs w:val="22"/>
          <w:u w:val="single"/>
        </w:rPr>
      </w:pPr>
      <w:r w:rsidRPr="008B602E">
        <w:rPr>
          <w:b/>
          <w:bCs/>
          <w:szCs w:val="22"/>
          <w:u w:val="single"/>
        </w:rPr>
        <w:t>Director, Human Resources</w:t>
      </w:r>
    </w:p>
    <w:p w14:paraId="7340FEF5" w14:textId="77777777" w:rsidR="004D4A2E" w:rsidRPr="008B602E" w:rsidRDefault="004D4A2E" w:rsidP="004D4A2E">
      <w:pPr>
        <w:jc w:val="center"/>
        <w:rPr>
          <w:bCs/>
          <w:szCs w:val="22"/>
        </w:rPr>
      </w:pPr>
      <w:r w:rsidRPr="008B602E">
        <w:rPr>
          <w:bCs/>
          <w:szCs w:val="22"/>
        </w:rPr>
        <w:t>Trinidad and Tobago Securities and Exchange Commission</w:t>
      </w:r>
    </w:p>
    <w:p w14:paraId="1F81DF3D" w14:textId="77777777" w:rsidR="00B52581" w:rsidRPr="008B602E" w:rsidRDefault="00B52581" w:rsidP="00B52581">
      <w:pPr>
        <w:pStyle w:val="Subtitle"/>
        <w:rPr>
          <w:b w:val="0"/>
          <w:bCs/>
          <w:szCs w:val="22"/>
        </w:rPr>
      </w:pPr>
      <w:r w:rsidRPr="008B602E">
        <w:rPr>
          <w:b w:val="0"/>
          <w:bCs/>
          <w:szCs w:val="22"/>
        </w:rPr>
        <w:t>Level</w:t>
      </w:r>
      <w:r w:rsidR="002C11F1" w:rsidRPr="008B602E">
        <w:rPr>
          <w:b w:val="0"/>
          <w:bCs/>
          <w:szCs w:val="22"/>
        </w:rPr>
        <w:t>s</w:t>
      </w:r>
      <w:r w:rsidRPr="008B602E">
        <w:rPr>
          <w:b w:val="0"/>
          <w:bCs/>
          <w:szCs w:val="22"/>
        </w:rPr>
        <w:t xml:space="preserve"> 22-23, Tower D</w:t>
      </w:r>
    </w:p>
    <w:p w14:paraId="545DDFBB" w14:textId="77777777" w:rsidR="00B52581" w:rsidRPr="008B602E" w:rsidRDefault="00B52581" w:rsidP="00B52581">
      <w:pPr>
        <w:pStyle w:val="Subtitle"/>
        <w:rPr>
          <w:b w:val="0"/>
          <w:bCs/>
          <w:szCs w:val="22"/>
        </w:rPr>
      </w:pPr>
      <w:r w:rsidRPr="008B602E">
        <w:rPr>
          <w:b w:val="0"/>
          <w:bCs/>
          <w:szCs w:val="22"/>
        </w:rPr>
        <w:t>International Waterfront Centre</w:t>
      </w:r>
    </w:p>
    <w:p w14:paraId="305CE818" w14:textId="77777777" w:rsidR="00B52581" w:rsidRPr="008B602E" w:rsidRDefault="00B52581" w:rsidP="00B52581">
      <w:pPr>
        <w:pStyle w:val="Subtitle"/>
        <w:rPr>
          <w:b w:val="0"/>
          <w:bCs/>
          <w:szCs w:val="22"/>
        </w:rPr>
      </w:pPr>
      <w:r w:rsidRPr="008B602E">
        <w:rPr>
          <w:b w:val="0"/>
          <w:bCs/>
          <w:szCs w:val="22"/>
        </w:rPr>
        <w:t>1 Wrightson Road</w:t>
      </w:r>
    </w:p>
    <w:p w14:paraId="7740AE6B" w14:textId="77777777" w:rsidR="00B52581" w:rsidRPr="008B602E" w:rsidRDefault="00B52581" w:rsidP="00B52581">
      <w:pPr>
        <w:pStyle w:val="Subtitle"/>
        <w:rPr>
          <w:b w:val="0"/>
          <w:bCs/>
          <w:szCs w:val="22"/>
        </w:rPr>
      </w:pPr>
      <w:r w:rsidRPr="008B602E">
        <w:rPr>
          <w:b w:val="0"/>
          <w:bCs/>
          <w:szCs w:val="22"/>
        </w:rPr>
        <w:t>Port of Spain</w:t>
      </w:r>
    </w:p>
    <w:p w14:paraId="07702693" w14:textId="77777777" w:rsidR="00B52581" w:rsidRPr="008B602E" w:rsidRDefault="00B52581" w:rsidP="00C94BB7">
      <w:pPr>
        <w:pStyle w:val="Subtitle"/>
        <w:jc w:val="left"/>
        <w:rPr>
          <w:b w:val="0"/>
          <w:bCs/>
          <w:szCs w:val="22"/>
        </w:rPr>
      </w:pPr>
    </w:p>
    <w:p w14:paraId="748497DC" w14:textId="70303CDF" w:rsidR="00C94BB7" w:rsidRPr="00A62BF3" w:rsidRDefault="00B52581" w:rsidP="00C94BB7">
      <w:pPr>
        <w:pStyle w:val="Subtitle"/>
        <w:rPr>
          <w:rStyle w:val="Hyperlink"/>
          <w:b w:val="0"/>
          <w:color w:val="548DD4" w:themeColor="text2" w:themeTint="99"/>
          <w:szCs w:val="22"/>
        </w:rPr>
      </w:pPr>
      <w:r w:rsidRPr="008B602E">
        <w:rPr>
          <w:b w:val="0"/>
          <w:bCs/>
          <w:szCs w:val="22"/>
        </w:rPr>
        <w:t xml:space="preserve"> </w:t>
      </w:r>
      <w:r w:rsidR="00B724BF" w:rsidRPr="008B602E">
        <w:rPr>
          <w:b w:val="0"/>
          <w:szCs w:val="22"/>
        </w:rPr>
        <w:t xml:space="preserve">Email address: </w:t>
      </w:r>
      <w:hyperlink r:id="rId9" w:history="1">
        <w:r w:rsidR="00B724BF" w:rsidRPr="00A62BF3">
          <w:rPr>
            <w:rStyle w:val="Hyperlink"/>
            <w:b w:val="0"/>
            <w:color w:val="548DD4" w:themeColor="text2" w:themeTint="99"/>
            <w:szCs w:val="22"/>
          </w:rPr>
          <w:t>vacancies@ttsec.org.tt</w:t>
        </w:r>
      </w:hyperlink>
    </w:p>
    <w:p w14:paraId="059C35A5" w14:textId="77777777" w:rsidR="008B602E" w:rsidRDefault="008B602E" w:rsidP="00C94BB7">
      <w:pPr>
        <w:pStyle w:val="Subtitle"/>
        <w:rPr>
          <w:rStyle w:val="Hyperlink"/>
          <w:b w:val="0"/>
          <w:color w:val="auto"/>
          <w:szCs w:val="22"/>
        </w:rPr>
      </w:pPr>
    </w:p>
    <w:p w14:paraId="00A41E05" w14:textId="77777777" w:rsidR="004F1E65" w:rsidRPr="008B602E" w:rsidRDefault="004F1E65" w:rsidP="00C94BB7">
      <w:pPr>
        <w:pStyle w:val="Subtitle"/>
        <w:rPr>
          <w:rStyle w:val="Hyperlink"/>
          <w:b w:val="0"/>
          <w:color w:val="auto"/>
          <w:szCs w:val="22"/>
        </w:rPr>
      </w:pPr>
    </w:p>
    <w:p w14:paraId="56D3DCD1" w14:textId="30E48B37" w:rsidR="007A4747" w:rsidRPr="008B602E" w:rsidRDefault="004D4A2E" w:rsidP="008B602E">
      <w:pPr>
        <w:jc w:val="center"/>
        <w:rPr>
          <w:b/>
          <w:bCs/>
          <w:i/>
          <w:szCs w:val="22"/>
        </w:rPr>
      </w:pPr>
      <w:r w:rsidRPr="007E76B5">
        <w:rPr>
          <w:b/>
          <w:bCs/>
          <w:i/>
          <w:szCs w:val="22"/>
        </w:rPr>
        <w:t>Applications should arrive no later than</w:t>
      </w:r>
      <w:r w:rsidR="008D4397" w:rsidRPr="007E76B5">
        <w:rPr>
          <w:b/>
          <w:bCs/>
          <w:i/>
          <w:szCs w:val="22"/>
        </w:rPr>
        <w:t xml:space="preserve"> </w:t>
      </w:r>
      <w:r w:rsidR="00F03832">
        <w:rPr>
          <w:b/>
          <w:bCs/>
          <w:i/>
          <w:szCs w:val="22"/>
        </w:rPr>
        <w:t>June 2</w:t>
      </w:r>
      <w:r w:rsidR="004F1E65">
        <w:rPr>
          <w:b/>
          <w:bCs/>
          <w:i/>
          <w:szCs w:val="22"/>
        </w:rPr>
        <w:t>5</w:t>
      </w:r>
      <w:r w:rsidR="00F03832">
        <w:rPr>
          <w:b/>
          <w:bCs/>
          <w:i/>
          <w:szCs w:val="22"/>
        </w:rPr>
        <w:t>, 2025.</w:t>
      </w:r>
      <w:r w:rsidR="0080461E">
        <w:rPr>
          <w:b/>
          <w:bCs/>
          <w:i/>
          <w:szCs w:val="22"/>
        </w:rPr>
        <w:t xml:space="preserve"> </w:t>
      </w:r>
      <w:r w:rsidR="00845393">
        <w:rPr>
          <w:b/>
          <w:bCs/>
          <w:i/>
          <w:szCs w:val="22"/>
        </w:rPr>
        <w:t xml:space="preserve"> </w:t>
      </w:r>
    </w:p>
    <w:p w14:paraId="23CCB8CA" w14:textId="6A55854E" w:rsidR="008D74F6" w:rsidRDefault="008D74F6" w:rsidP="008B602E">
      <w:pPr>
        <w:rPr>
          <w:b/>
          <w:bCs/>
          <w:szCs w:val="24"/>
          <w:u w:val="single"/>
        </w:rPr>
      </w:pPr>
    </w:p>
    <w:p w14:paraId="61E61AC9" w14:textId="77777777" w:rsidR="004F1E65" w:rsidRDefault="004F1E65" w:rsidP="008B602E">
      <w:pPr>
        <w:rPr>
          <w:b/>
          <w:bCs/>
          <w:szCs w:val="24"/>
          <w:u w:val="single"/>
        </w:rPr>
      </w:pPr>
    </w:p>
    <w:p w14:paraId="271164CA" w14:textId="3F6F2296" w:rsidR="00BA3F08" w:rsidRPr="00E855BF" w:rsidRDefault="00BA3F08" w:rsidP="00D75065">
      <w:pPr>
        <w:jc w:val="center"/>
        <w:rPr>
          <w:b/>
          <w:bCs/>
          <w:szCs w:val="24"/>
          <w:u w:val="single"/>
        </w:rPr>
      </w:pPr>
      <w:r w:rsidRPr="00BA3F08">
        <w:rPr>
          <w:i/>
          <w:iCs/>
          <w:szCs w:val="24"/>
        </w:rPr>
        <w:t>The Commission appreciates all expressions of interest; however, only shortlisted candidates will be contacted.</w:t>
      </w:r>
    </w:p>
    <w:sectPr w:rsidR="00BA3F08" w:rsidRPr="00E855BF" w:rsidSect="00EC3B7B">
      <w:footerReference w:type="default" r:id="rId10"/>
      <w:pgSz w:w="12240" w:h="15840"/>
      <w:pgMar w:top="1440" w:right="1440"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9EA3" w14:textId="77777777" w:rsidR="00F17197" w:rsidRDefault="00F17197" w:rsidP="00903F13">
      <w:r>
        <w:separator/>
      </w:r>
    </w:p>
  </w:endnote>
  <w:endnote w:type="continuationSeparator" w:id="0">
    <w:p w14:paraId="41004981" w14:textId="77777777" w:rsidR="00F17197" w:rsidRDefault="00F17197" w:rsidP="0090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636272"/>
      <w:docPartObj>
        <w:docPartGallery w:val="Page Numbers (Bottom of Page)"/>
        <w:docPartUnique/>
      </w:docPartObj>
    </w:sdtPr>
    <w:sdtEndPr>
      <w:rPr>
        <w:noProof/>
      </w:rPr>
    </w:sdtEndPr>
    <w:sdtContent>
      <w:p w14:paraId="4EF0FC07" w14:textId="3E00074E" w:rsidR="009C532B" w:rsidRDefault="009C53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F20F5" w14:textId="77777777" w:rsidR="00903F13" w:rsidRDefault="0090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8DC2" w14:textId="77777777" w:rsidR="00F17197" w:rsidRDefault="00F17197" w:rsidP="00903F13">
      <w:r>
        <w:separator/>
      </w:r>
    </w:p>
  </w:footnote>
  <w:footnote w:type="continuationSeparator" w:id="0">
    <w:p w14:paraId="76E91AA5" w14:textId="77777777" w:rsidR="00F17197" w:rsidRDefault="00F17197" w:rsidP="00903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826"/>
    <w:multiLevelType w:val="hybridMultilevel"/>
    <w:tmpl w:val="A44A153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2896502"/>
    <w:multiLevelType w:val="hybridMultilevel"/>
    <w:tmpl w:val="70586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8F1360"/>
    <w:multiLevelType w:val="hybridMultilevel"/>
    <w:tmpl w:val="011621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F7399"/>
    <w:multiLevelType w:val="hybridMultilevel"/>
    <w:tmpl w:val="2362C71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0DD855AD"/>
    <w:multiLevelType w:val="hybridMultilevel"/>
    <w:tmpl w:val="D5A2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D50E9"/>
    <w:multiLevelType w:val="hybridMultilevel"/>
    <w:tmpl w:val="8D86B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F33C0C"/>
    <w:multiLevelType w:val="hybridMultilevel"/>
    <w:tmpl w:val="97C4D8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4F615C"/>
    <w:multiLevelType w:val="hybridMultilevel"/>
    <w:tmpl w:val="7F6A6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AC772EA"/>
    <w:multiLevelType w:val="hybridMultilevel"/>
    <w:tmpl w:val="7476725C"/>
    <w:lvl w:ilvl="0" w:tplc="CB62F03C">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A9C62">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3CC1C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288E5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109F06">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E6C0E2">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427E8A">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89014">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C2B28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233DB6"/>
    <w:multiLevelType w:val="hybridMultilevel"/>
    <w:tmpl w:val="47FE611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1D527816"/>
    <w:multiLevelType w:val="hybridMultilevel"/>
    <w:tmpl w:val="E6F0068E"/>
    <w:lvl w:ilvl="0" w:tplc="E4787568">
      <w:start w:val="1"/>
      <w:numFmt w:val="upperLetter"/>
      <w:lvlText w:val="%1."/>
      <w:lvlJc w:val="left"/>
      <w:pPr>
        <w:ind w:left="360" w:hanging="360"/>
      </w:pPr>
      <w:rPr>
        <w:b/>
        <w:color w:val="548DD4" w:themeColor="text2" w:themeTint="99"/>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1" w15:restartNumberingAfterBreak="0">
    <w:nsid w:val="229B463A"/>
    <w:multiLevelType w:val="hybridMultilevel"/>
    <w:tmpl w:val="CB4819A6"/>
    <w:lvl w:ilvl="0" w:tplc="49603E6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C91E6">
      <w:start w:val="1"/>
      <w:numFmt w:val="bullet"/>
      <w:lvlText w:val="o"/>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E1408">
      <w:start w:val="1"/>
      <w:numFmt w:val="bullet"/>
      <w:lvlText w:val="▪"/>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86ACAC">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56C4F0">
      <w:start w:val="1"/>
      <w:numFmt w:val="bullet"/>
      <w:lvlText w:val="o"/>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8CCB38">
      <w:start w:val="1"/>
      <w:numFmt w:val="bullet"/>
      <w:lvlText w:val="▪"/>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341886">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41A58">
      <w:start w:val="1"/>
      <w:numFmt w:val="bullet"/>
      <w:lvlText w:val="o"/>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AC80A6">
      <w:start w:val="1"/>
      <w:numFmt w:val="bullet"/>
      <w:lvlText w:val="▪"/>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0C2750"/>
    <w:multiLevelType w:val="hybridMultilevel"/>
    <w:tmpl w:val="44DCFED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26A25C74"/>
    <w:multiLevelType w:val="multilevel"/>
    <w:tmpl w:val="1660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46908"/>
    <w:multiLevelType w:val="hybridMultilevel"/>
    <w:tmpl w:val="49B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50B9F"/>
    <w:multiLevelType w:val="hybridMultilevel"/>
    <w:tmpl w:val="AD540FD4"/>
    <w:lvl w:ilvl="0" w:tplc="04090001">
      <w:start w:val="1"/>
      <w:numFmt w:val="bullet"/>
      <w:lvlText w:val=""/>
      <w:lvlJc w:val="left"/>
      <w:pPr>
        <w:ind w:left="479" w:hanging="360"/>
      </w:pPr>
      <w:rPr>
        <w:rFonts w:ascii="Symbol" w:hAnsi="Symbol"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6" w15:restartNumberingAfterBreak="0">
    <w:nsid w:val="3CEB30BF"/>
    <w:multiLevelType w:val="hybridMultilevel"/>
    <w:tmpl w:val="86B0851C"/>
    <w:lvl w:ilvl="0" w:tplc="F8C89C9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48CCF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9CEA4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4ECE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047B9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A02B4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EE1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A101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B2FBF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8C2BEA"/>
    <w:multiLevelType w:val="multilevel"/>
    <w:tmpl w:val="CDD8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8019D"/>
    <w:multiLevelType w:val="hybridMultilevel"/>
    <w:tmpl w:val="00EA7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3E4668"/>
    <w:multiLevelType w:val="hybridMultilevel"/>
    <w:tmpl w:val="8A788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E966BB"/>
    <w:multiLevelType w:val="hybridMultilevel"/>
    <w:tmpl w:val="C43A88D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97600F9"/>
    <w:multiLevelType w:val="hybridMultilevel"/>
    <w:tmpl w:val="F9A615DC"/>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2" w15:restartNumberingAfterBreak="0">
    <w:nsid w:val="4F9F3EFC"/>
    <w:multiLevelType w:val="hybridMultilevel"/>
    <w:tmpl w:val="31CCED9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4F91F09"/>
    <w:multiLevelType w:val="hybridMultilevel"/>
    <w:tmpl w:val="C74C3F8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4" w15:restartNumberingAfterBreak="0">
    <w:nsid w:val="55916DEC"/>
    <w:multiLevelType w:val="hybridMultilevel"/>
    <w:tmpl w:val="B2EA5CA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5" w15:restartNumberingAfterBreak="0">
    <w:nsid w:val="5C4A3AED"/>
    <w:multiLevelType w:val="hybridMultilevel"/>
    <w:tmpl w:val="B24CA1A0"/>
    <w:lvl w:ilvl="0" w:tplc="F8C8AE34">
      <w:start w:val="1"/>
      <w:numFmt w:val="upperLetter"/>
      <w:lvlText w:val="%1."/>
      <w:lvlJc w:val="left"/>
      <w:pPr>
        <w:tabs>
          <w:tab w:val="num" w:pos="360"/>
        </w:tabs>
        <w:ind w:left="360" w:hanging="360"/>
      </w:pPr>
      <w:rPr>
        <w:rFonts w:hint="default"/>
      </w:rPr>
    </w:lvl>
    <w:lvl w:ilvl="1" w:tplc="87089F04">
      <w:start w:val="1"/>
      <w:numFmt w:val="decimal"/>
      <w:lvlText w:val="%2."/>
      <w:lvlJc w:val="left"/>
      <w:pPr>
        <w:tabs>
          <w:tab w:val="num" w:pos="1368"/>
        </w:tabs>
        <w:ind w:left="1368" w:hanging="648"/>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CB55C74"/>
    <w:multiLevelType w:val="hybridMultilevel"/>
    <w:tmpl w:val="27EE27D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7" w15:restartNumberingAfterBreak="0">
    <w:nsid w:val="5CE04A8D"/>
    <w:multiLevelType w:val="hybridMultilevel"/>
    <w:tmpl w:val="A6B26A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E67BE4"/>
    <w:multiLevelType w:val="hybridMultilevel"/>
    <w:tmpl w:val="55D4081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47939CB"/>
    <w:multiLevelType w:val="hybridMultilevel"/>
    <w:tmpl w:val="3F48127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79513B9"/>
    <w:multiLevelType w:val="hybridMultilevel"/>
    <w:tmpl w:val="B24CA1A0"/>
    <w:lvl w:ilvl="0" w:tplc="04090001">
      <w:start w:val="1"/>
      <w:numFmt w:val="bullet"/>
      <w:lvlText w:val=""/>
      <w:lvlJc w:val="left"/>
      <w:pPr>
        <w:tabs>
          <w:tab w:val="num" w:pos="360"/>
        </w:tabs>
        <w:ind w:left="360" w:hanging="360"/>
      </w:pPr>
      <w:rPr>
        <w:rFonts w:ascii="Symbol" w:hAnsi="Symbol" w:hint="default"/>
      </w:rPr>
    </w:lvl>
    <w:lvl w:ilvl="1" w:tplc="87089F04">
      <w:start w:val="1"/>
      <w:numFmt w:val="decimal"/>
      <w:lvlText w:val="%2."/>
      <w:lvlJc w:val="left"/>
      <w:pPr>
        <w:tabs>
          <w:tab w:val="num" w:pos="1368"/>
        </w:tabs>
        <w:ind w:left="1368" w:hanging="648"/>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C1A676B"/>
    <w:multiLevelType w:val="hybridMultilevel"/>
    <w:tmpl w:val="69CAD3B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2" w15:restartNumberingAfterBreak="0">
    <w:nsid w:val="6D86008A"/>
    <w:multiLevelType w:val="hybridMultilevel"/>
    <w:tmpl w:val="DA5ED0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5F3573"/>
    <w:multiLevelType w:val="hybridMultilevel"/>
    <w:tmpl w:val="8E22388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4" w15:restartNumberingAfterBreak="0">
    <w:nsid w:val="736E1C5F"/>
    <w:multiLevelType w:val="hybridMultilevel"/>
    <w:tmpl w:val="3EC8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C75D9"/>
    <w:multiLevelType w:val="hybridMultilevel"/>
    <w:tmpl w:val="BFDCF4D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16cid:durableId="972179002">
    <w:abstractNumId w:val="10"/>
  </w:num>
  <w:num w:numId="2" w16cid:durableId="727604876">
    <w:abstractNumId w:val="15"/>
  </w:num>
  <w:num w:numId="3" w16cid:durableId="647711561">
    <w:abstractNumId w:val="8"/>
  </w:num>
  <w:num w:numId="4" w16cid:durableId="607471678">
    <w:abstractNumId w:val="16"/>
  </w:num>
  <w:num w:numId="5" w16cid:durableId="587009934">
    <w:abstractNumId w:val="11"/>
  </w:num>
  <w:num w:numId="6" w16cid:durableId="851067884">
    <w:abstractNumId w:val="7"/>
  </w:num>
  <w:num w:numId="7" w16cid:durableId="1468550202">
    <w:abstractNumId w:val="7"/>
  </w:num>
  <w:num w:numId="8" w16cid:durableId="1923291088">
    <w:abstractNumId w:val="25"/>
  </w:num>
  <w:num w:numId="9" w16cid:durableId="592935522">
    <w:abstractNumId w:val="29"/>
  </w:num>
  <w:num w:numId="10" w16cid:durableId="194885379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206588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086548">
    <w:abstractNumId w:val="5"/>
  </w:num>
  <w:num w:numId="13" w16cid:durableId="210580269">
    <w:abstractNumId w:val="27"/>
  </w:num>
  <w:num w:numId="14" w16cid:durableId="2106460340">
    <w:abstractNumId w:val="28"/>
  </w:num>
  <w:num w:numId="15" w16cid:durableId="536161430">
    <w:abstractNumId w:val="20"/>
  </w:num>
  <w:num w:numId="16" w16cid:durableId="24603998">
    <w:abstractNumId w:val="6"/>
  </w:num>
  <w:num w:numId="17" w16cid:durableId="653030819">
    <w:abstractNumId w:val="3"/>
  </w:num>
  <w:num w:numId="18" w16cid:durableId="1793354842">
    <w:abstractNumId w:val="34"/>
  </w:num>
  <w:num w:numId="19" w16cid:durableId="931477255">
    <w:abstractNumId w:val="14"/>
  </w:num>
  <w:num w:numId="20" w16cid:durableId="448281211">
    <w:abstractNumId w:val="4"/>
  </w:num>
  <w:num w:numId="21" w16cid:durableId="823593416">
    <w:abstractNumId w:val="31"/>
  </w:num>
  <w:num w:numId="22" w16cid:durableId="521938351">
    <w:abstractNumId w:val="33"/>
  </w:num>
  <w:num w:numId="23" w16cid:durableId="1410616554">
    <w:abstractNumId w:val="12"/>
  </w:num>
  <w:num w:numId="24" w16cid:durableId="1963491284">
    <w:abstractNumId w:val="1"/>
  </w:num>
  <w:num w:numId="25" w16cid:durableId="2097314446">
    <w:abstractNumId w:val="18"/>
  </w:num>
  <w:num w:numId="26" w16cid:durableId="2011907838">
    <w:abstractNumId w:val="2"/>
  </w:num>
  <w:num w:numId="27" w16cid:durableId="2125230674">
    <w:abstractNumId w:val="32"/>
  </w:num>
  <w:num w:numId="28" w16cid:durableId="1914243609">
    <w:abstractNumId w:val="0"/>
  </w:num>
  <w:num w:numId="29" w16cid:durableId="2138798307">
    <w:abstractNumId w:val="21"/>
  </w:num>
  <w:num w:numId="30" w16cid:durableId="478114759">
    <w:abstractNumId w:val="26"/>
  </w:num>
  <w:num w:numId="31" w16cid:durableId="618679227">
    <w:abstractNumId w:val="9"/>
  </w:num>
  <w:num w:numId="32" w16cid:durableId="739710859">
    <w:abstractNumId w:val="13"/>
  </w:num>
  <w:num w:numId="33" w16cid:durableId="401029164">
    <w:abstractNumId w:val="23"/>
  </w:num>
  <w:num w:numId="34" w16cid:durableId="1622688542">
    <w:abstractNumId w:val="35"/>
  </w:num>
  <w:num w:numId="35" w16cid:durableId="1010834939">
    <w:abstractNumId w:val="19"/>
  </w:num>
  <w:num w:numId="36" w16cid:durableId="372928309">
    <w:abstractNumId w:val="17"/>
  </w:num>
  <w:num w:numId="37" w16cid:durableId="211774644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2E"/>
    <w:rsid w:val="0000123D"/>
    <w:rsid w:val="0000586A"/>
    <w:rsid w:val="000144D8"/>
    <w:rsid w:val="000151DA"/>
    <w:rsid w:val="000333AC"/>
    <w:rsid w:val="00061F6E"/>
    <w:rsid w:val="0009009F"/>
    <w:rsid w:val="000956C7"/>
    <w:rsid w:val="000A2B2E"/>
    <w:rsid w:val="000B4B76"/>
    <w:rsid w:val="000C11A3"/>
    <w:rsid w:val="000C5AC8"/>
    <w:rsid w:val="00104FC1"/>
    <w:rsid w:val="00135C65"/>
    <w:rsid w:val="00142959"/>
    <w:rsid w:val="00144020"/>
    <w:rsid w:val="00145505"/>
    <w:rsid w:val="00146B45"/>
    <w:rsid w:val="001503CE"/>
    <w:rsid w:val="00171DE5"/>
    <w:rsid w:val="001736F1"/>
    <w:rsid w:val="00176CC9"/>
    <w:rsid w:val="001808EF"/>
    <w:rsid w:val="00195CD5"/>
    <w:rsid w:val="00195E9C"/>
    <w:rsid w:val="001B360E"/>
    <w:rsid w:val="001C1487"/>
    <w:rsid w:val="001E262A"/>
    <w:rsid w:val="001E36F8"/>
    <w:rsid w:val="002105CE"/>
    <w:rsid w:val="00242A1A"/>
    <w:rsid w:val="00247F8D"/>
    <w:rsid w:val="00250EED"/>
    <w:rsid w:val="00257135"/>
    <w:rsid w:val="0026758B"/>
    <w:rsid w:val="002812F4"/>
    <w:rsid w:val="002858DC"/>
    <w:rsid w:val="002932E1"/>
    <w:rsid w:val="002A328F"/>
    <w:rsid w:val="002B0495"/>
    <w:rsid w:val="002B0E24"/>
    <w:rsid w:val="002B24F4"/>
    <w:rsid w:val="002B3D3C"/>
    <w:rsid w:val="002C11F1"/>
    <w:rsid w:val="002D124F"/>
    <w:rsid w:val="002D37AB"/>
    <w:rsid w:val="002F0560"/>
    <w:rsid w:val="002F0F40"/>
    <w:rsid w:val="002F1B70"/>
    <w:rsid w:val="003066BD"/>
    <w:rsid w:val="003316CC"/>
    <w:rsid w:val="00332D77"/>
    <w:rsid w:val="003423C6"/>
    <w:rsid w:val="00351ACA"/>
    <w:rsid w:val="00353AEE"/>
    <w:rsid w:val="003556D1"/>
    <w:rsid w:val="003664F7"/>
    <w:rsid w:val="00373E44"/>
    <w:rsid w:val="00384596"/>
    <w:rsid w:val="00386E7E"/>
    <w:rsid w:val="00391B71"/>
    <w:rsid w:val="003D25F7"/>
    <w:rsid w:val="003F17B3"/>
    <w:rsid w:val="003F70BC"/>
    <w:rsid w:val="0041713C"/>
    <w:rsid w:val="00421A7C"/>
    <w:rsid w:val="00437A87"/>
    <w:rsid w:val="004405D2"/>
    <w:rsid w:val="00444B8A"/>
    <w:rsid w:val="004550B0"/>
    <w:rsid w:val="00470C87"/>
    <w:rsid w:val="004820EC"/>
    <w:rsid w:val="004A7A2D"/>
    <w:rsid w:val="004D2688"/>
    <w:rsid w:val="004D4A2E"/>
    <w:rsid w:val="004D5AAB"/>
    <w:rsid w:val="004E50FB"/>
    <w:rsid w:val="004F1E65"/>
    <w:rsid w:val="00500BAA"/>
    <w:rsid w:val="00532DB6"/>
    <w:rsid w:val="005367DC"/>
    <w:rsid w:val="00542022"/>
    <w:rsid w:val="005431CC"/>
    <w:rsid w:val="005444B2"/>
    <w:rsid w:val="005479EC"/>
    <w:rsid w:val="00554143"/>
    <w:rsid w:val="005579EE"/>
    <w:rsid w:val="00562295"/>
    <w:rsid w:val="00574D36"/>
    <w:rsid w:val="00581484"/>
    <w:rsid w:val="005928C0"/>
    <w:rsid w:val="00593A51"/>
    <w:rsid w:val="005B09E1"/>
    <w:rsid w:val="005C6ED0"/>
    <w:rsid w:val="005D5841"/>
    <w:rsid w:val="005E24A6"/>
    <w:rsid w:val="005E2B43"/>
    <w:rsid w:val="005E3404"/>
    <w:rsid w:val="006132D7"/>
    <w:rsid w:val="00614449"/>
    <w:rsid w:val="00636951"/>
    <w:rsid w:val="00642013"/>
    <w:rsid w:val="00647EEC"/>
    <w:rsid w:val="0065476D"/>
    <w:rsid w:val="00661E84"/>
    <w:rsid w:val="006825D4"/>
    <w:rsid w:val="00691A4E"/>
    <w:rsid w:val="006A4B14"/>
    <w:rsid w:val="006A6671"/>
    <w:rsid w:val="006B4A0C"/>
    <w:rsid w:val="006C0493"/>
    <w:rsid w:val="006C3051"/>
    <w:rsid w:val="006C7F76"/>
    <w:rsid w:val="006D4F31"/>
    <w:rsid w:val="006E0B20"/>
    <w:rsid w:val="0070523D"/>
    <w:rsid w:val="00712E27"/>
    <w:rsid w:val="00735E36"/>
    <w:rsid w:val="00753F79"/>
    <w:rsid w:val="00754ED8"/>
    <w:rsid w:val="00767250"/>
    <w:rsid w:val="00771E8C"/>
    <w:rsid w:val="00782FAB"/>
    <w:rsid w:val="0079339B"/>
    <w:rsid w:val="00796BAF"/>
    <w:rsid w:val="00797505"/>
    <w:rsid w:val="00797BCF"/>
    <w:rsid w:val="007A2545"/>
    <w:rsid w:val="007A2CBA"/>
    <w:rsid w:val="007A4517"/>
    <w:rsid w:val="007A4747"/>
    <w:rsid w:val="007E76B5"/>
    <w:rsid w:val="00802E48"/>
    <w:rsid w:val="0080461E"/>
    <w:rsid w:val="008152D2"/>
    <w:rsid w:val="00821C04"/>
    <w:rsid w:val="00823F80"/>
    <w:rsid w:val="00845393"/>
    <w:rsid w:val="008478CC"/>
    <w:rsid w:val="00870338"/>
    <w:rsid w:val="00880BDC"/>
    <w:rsid w:val="00891687"/>
    <w:rsid w:val="00893621"/>
    <w:rsid w:val="0089532F"/>
    <w:rsid w:val="008B52F7"/>
    <w:rsid w:val="008B602E"/>
    <w:rsid w:val="008B6480"/>
    <w:rsid w:val="008D23FA"/>
    <w:rsid w:val="008D3509"/>
    <w:rsid w:val="008D4397"/>
    <w:rsid w:val="008D46A7"/>
    <w:rsid w:val="008D74F6"/>
    <w:rsid w:val="008F6729"/>
    <w:rsid w:val="00903F13"/>
    <w:rsid w:val="00904BFA"/>
    <w:rsid w:val="00904E65"/>
    <w:rsid w:val="00905E32"/>
    <w:rsid w:val="00906CA2"/>
    <w:rsid w:val="009260E3"/>
    <w:rsid w:val="00934D9C"/>
    <w:rsid w:val="00951AC3"/>
    <w:rsid w:val="00952B7B"/>
    <w:rsid w:val="00993619"/>
    <w:rsid w:val="009A2F12"/>
    <w:rsid w:val="009C187C"/>
    <w:rsid w:val="009C532B"/>
    <w:rsid w:val="009C7DDD"/>
    <w:rsid w:val="009E3B9B"/>
    <w:rsid w:val="009E794C"/>
    <w:rsid w:val="009F0946"/>
    <w:rsid w:val="009F0D85"/>
    <w:rsid w:val="00A0019D"/>
    <w:rsid w:val="00A047FF"/>
    <w:rsid w:val="00A11955"/>
    <w:rsid w:val="00A170E8"/>
    <w:rsid w:val="00A243A5"/>
    <w:rsid w:val="00A30759"/>
    <w:rsid w:val="00A428F4"/>
    <w:rsid w:val="00A479BC"/>
    <w:rsid w:val="00A566C3"/>
    <w:rsid w:val="00A62BF3"/>
    <w:rsid w:val="00A665F1"/>
    <w:rsid w:val="00A74068"/>
    <w:rsid w:val="00A75154"/>
    <w:rsid w:val="00A95447"/>
    <w:rsid w:val="00AA119A"/>
    <w:rsid w:val="00AA46AB"/>
    <w:rsid w:val="00AB0111"/>
    <w:rsid w:val="00AC35F1"/>
    <w:rsid w:val="00AE1D1A"/>
    <w:rsid w:val="00AE2740"/>
    <w:rsid w:val="00B00D1B"/>
    <w:rsid w:val="00B04AE0"/>
    <w:rsid w:val="00B13524"/>
    <w:rsid w:val="00B35C04"/>
    <w:rsid w:val="00B44A52"/>
    <w:rsid w:val="00B46A1C"/>
    <w:rsid w:val="00B4799A"/>
    <w:rsid w:val="00B52581"/>
    <w:rsid w:val="00B543A6"/>
    <w:rsid w:val="00B62CDF"/>
    <w:rsid w:val="00B645D2"/>
    <w:rsid w:val="00B665AF"/>
    <w:rsid w:val="00B71ED7"/>
    <w:rsid w:val="00B7202B"/>
    <w:rsid w:val="00B724BF"/>
    <w:rsid w:val="00B82D3C"/>
    <w:rsid w:val="00B8474B"/>
    <w:rsid w:val="00B9661E"/>
    <w:rsid w:val="00B973C7"/>
    <w:rsid w:val="00BA3F08"/>
    <w:rsid w:val="00BB1F7C"/>
    <w:rsid w:val="00BB5FBB"/>
    <w:rsid w:val="00BB6067"/>
    <w:rsid w:val="00BB630E"/>
    <w:rsid w:val="00BC6A91"/>
    <w:rsid w:val="00BD4697"/>
    <w:rsid w:val="00BD6CC3"/>
    <w:rsid w:val="00BE06CD"/>
    <w:rsid w:val="00BE51CB"/>
    <w:rsid w:val="00BE7C97"/>
    <w:rsid w:val="00BF21F9"/>
    <w:rsid w:val="00C20C71"/>
    <w:rsid w:val="00C24E5B"/>
    <w:rsid w:val="00C40832"/>
    <w:rsid w:val="00C53867"/>
    <w:rsid w:val="00C54B6E"/>
    <w:rsid w:val="00C6552F"/>
    <w:rsid w:val="00C94BB7"/>
    <w:rsid w:val="00CA3E86"/>
    <w:rsid w:val="00CA66E6"/>
    <w:rsid w:val="00CB0A7E"/>
    <w:rsid w:val="00CC68E1"/>
    <w:rsid w:val="00CE2B1E"/>
    <w:rsid w:val="00CF5267"/>
    <w:rsid w:val="00D1065D"/>
    <w:rsid w:val="00D1483B"/>
    <w:rsid w:val="00D2141A"/>
    <w:rsid w:val="00D23ACD"/>
    <w:rsid w:val="00D2705D"/>
    <w:rsid w:val="00D33222"/>
    <w:rsid w:val="00D34260"/>
    <w:rsid w:val="00D3460B"/>
    <w:rsid w:val="00D52626"/>
    <w:rsid w:val="00D57B8D"/>
    <w:rsid w:val="00D75065"/>
    <w:rsid w:val="00D86CAF"/>
    <w:rsid w:val="00D9523B"/>
    <w:rsid w:val="00DA2584"/>
    <w:rsid w:val="00DA5973"/>
    <w:rsid w:val="00DD2912"/>
    <w:rsid w:val="00DE6433"/>
    <w:rsid w:val="00DF2801"/>
    <w:rsid w:val="00DF2DA5"/>
    <w:rsid w:val="00E02F10"/>
    <w:rsid w:val="00E0626E"/>
    <w:rsid w:val="00E06F9C"/>
    <w:rsid w:val="00E207C3"/>
    <w:rsid w:val="00E20A3D"/>
    <w:rsid w:val="00E2413A"/>
    <w:rsid w:val="00E302EA"/>
    <w:rsid w:val="00E37E08"/>
    <w:rsid w:val="00E54013"/>
    <w:rsid w:val="00E855BF"/>
    <w:rsid w:val="00E914E3"/>
    <w:rsid w:val="00EA6A8E"/>
    <w:rsid w:val="00EB41F9"/>
    <w:rsid w:val="00EB45B4"/>
    <w:rsid w:val="00EB702C"/>
    <w:rsid w:val="00EC3B7B"/>
    <w:rsid w:val="00ED2C3E"/>
    <w:rsid w:val="00EF41A0"/>
    <w:rsid w:val="00F03832"/>
    <w:rsid w:val="00F17197"/>
    <w:rsid w:val="00F22085"/>
    <w:rsid w:val="00F2497E"/>
    <w:rsid w:val="00F36A87"/>
    <w:rsid w:val="00F419D1"/>
    <w:rsid w:val="00F41A75"/>
    <w:rsid w:val="00F660CE"/>
    <w:rsid w:val="00F71265"/>
    <w:rsid w:val="00F801C2"/>
    <w:rsid w:val="00F91463"/>
    <w:rsid w:val="00F93027"/>
    <w:rsid w:val="00F968E0"/>
    <w:rsid w:val="00FA06D5"/>
    <w:rsid w:val="00FA7D43"/>
    <w:rsid w:val="00FC7694"/>
    <w:rsid w:val="00FD3260"/>
    <w:rsid w:val="00FE620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9AD1"/>
  <w15:docId w15:val="{542C9222-1DAF-40EC-ABFB-1A80EFFE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D4A2E"/>
    <w:pPr>
      <w:spacing w:after="0" w:line="240" w:lineRule="auto"/>
    </w:pPr>
    <w:rPr>
      <w:rFonts w:ascii="Times New Roman" w:eastAsia="Times New Roman" w:hAnsi="Times New Roman" w:cs="Times New Roman"/>
      <w:sz w:val="24"/>
      <w:szCs w:val="20"/>
      <w:lang w:eastAsia="en-TT"/>
    </w:rPr>
  </w:style>
  <w:style w:type="paragraph" w:styleId="Heading1">
    <w:name w:val="heading 1"/>
    <w:basedOn w:val="Normal"/>
    <w:next w:val="Normal"/>
    <w:link w:val="Heading1Char"/>
    <w:uiPriority w:val="9"/>
    <w:qFormat/>
    <w:rsid w:val="008B64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rsid w:val="004D4A2E"/>
    <w:pPr>
      <w:keepNext/>
      <w:ind w:left="1440" w:hanging="1440"/>
      <w:outlineLvl w:val="1"/>
    </w:pPr>
    <w:rPr>
      <w:b/>
    </w:rPr>
  </w:style>
  <w:style w:type="paragraph" w:styleId="Heading3">
    <w:name w:val="heading 3"/>
    <w:basedOn w:val="Normal"/>
    <w:next w:val="Normal"/>
    <w:link w:val="Heading3Char"/>
    <w:uiPriority w:val="9"/>
    <w:semiHidden/>
    <w:unhideWhenUsed/>
    <w:qFormat/>
    <w:rsid w:val="002F056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D4A2E"/>
    <w:rPr>
      <w:rFonts w:ascii="Times New Roman" w:eastAsia="Times New Roman" w:hAnsi="Times New Roman" w:cs="Times New Roman"/>
      <w:b/>
      <w:sz w:val="24"/>
      <w:szCs w:val="20"/>
      <w:lang w:eastAsia="en-TT"/>
    </w:rPr>
  </w:style>
  <w:style w:type="paragraph" w:styleId="BodyTextIndent">
    <w:name w:val="Body Text Indent"/>
    <w:basedOn w:val="Normal"/>
    <w:link w:val="BodyTextIndentChar"/>
    <w:uiPriority w:val="99"/>
    <w:rsid w:val="004D4A2E"/>
    <w:pPr>
      <w:tabs>
        <w:tab w:val="left" w:pos="-90"/>
        <w:tab w:val="left" w:pos="90"/>
      </w:tabs>
      <w:ind w:left="90" w:hanging="90"/>
    </w:pPr>
  </w:style>
  <w:style w:type="character" w:customStyle="1" w:styleId="BodyTextIndentChar">
    <w:name w:val="Body Text Indent Char"/>
    <w:basedOn w:val="DefaultParagraphFont"/>
    <w:link w:val="BodyTextIndent"/>
    <w:uiPriority w:val="99"/>
    <w:rsid w:val="004D4A2E"/>
    <w:rPr>
      <w:rFonts w:ascii="Times New Roman" w:eastAsia="Times New Roman" w:hAnsi="Times New Roman" w:cs="Times New Roman"/>
      <w:sz w:val="24"/>
      <w:szCs w:val="20"/>
      <w:lang w:eastAsia="en-TT"/>
    </w:rPr>
  </w:style>
  <w:style w:type="paragraph" w:styleId="BodyTextIndent2">
    <w:name w:val="Body Text Indent 2"/>
    <w:basedOn w:val="Normal"/>
    <w:link w:val="BodyTextIndent2Char"/>
    <w:uiPriority w:val="99"/>
    <w:rsid w:val="004D4A2E"/>
    <w:pPr>
      <w:tabs>
        <w:tab w:val="left" w:pos="-90"/>
        <w:tab w:val="left" w:pos="90"/>
      </w:tabs>
      <w:ind w:left="90" w:hanging="90"/>
      <w:jc w:val="both"/>
    </w:pPr>
  </w:style>
  <w:style w:type="character" w:customStyle="1" w:styleId="BodyTextIndent2Char">
    <w:name w:val="Body Text Indent 2 Char"/>
    <w:basedOn w:val="DefaultParagraphFont"/>
    <w:link w:val="BodyTextIndent2"/>
    <w:uiPriority w:val="99"/>
    <w:rsid w:val="004D4A2E"/>
    <w:rPr>
      <w:rFonts w:ascii="Times New Roman" w:eastAsia="Times New Roman" w:hAnsi="Times New Roman" w:cs="Times New Roman"/>
      <w:sz w:val="24"/>
      <w:szCs w:val="20"/>
      <w:lang w:eastAsia="en-TT"/>
    </w:rPr>
  </w:style>
  <w:style w:type="character" w:styleId="Hyperlink">
    <w:name w:val="Hyperlink"/>
    <w:basedOn w:val="DefaultParagraphFont"/>
    <w:rsid w:val="004D4A2E"/>
    <w:rPr>
      <w:color w:val="0000FF"/>
      <w:u w:val="single"/>
    </w:rPr>
  </w:style>
  <w:style w:type="paragraph" w:styleId="Subtitle">
    <w:name w:val="Subtitle"/>
    <w:basedOn w:val="Normal"/>
    <w:link w:val="SubtitleChar"/>
    <w:qFormat/>
    <w:rsid w:val="004D4A2E"/>
    <w:pPr>
      <w:jc w:val="center"/>
    </w:pPr>
    <w:rPr>
      <w:b/>
    </w:rPr>
  </w:style>
  <w:style w:type="character" w:customStyle="1" w:styleId="SubtitleChar">
    <w:name w:val="Subtitle Char"/>
    <w:basedOn w:val="DefaultParagraphFont"/>
    <w:link w:val="Subtitle"/>
    <w:rsid w:val="004D4A2E"/>
    <w:rPr>
      <w:rFonts w:ascii="Times New Roman" w:eastAsia="Times New Roman" w:hAnsi="Times New Roman" w:cs="Times New Roman"/>
      <w:b/>
      <w:sz w:val="24"/>
      <w:szCs w:val="20"/>
      <w:lang w:eastAsia="en-TT"/>
    </w:rPr>
  </w:style>
  <w:style w:type="paragraph" w:styleId="Title">
    <w:name w:val="Title"/>
    <w:basedOn w:val="Normal"/>
    <w:link w:val="TitleChar"/>
    <w:qFormat/>
    <w:rsid w:val="004D4A2E"/>
    <w:pPr>
      <w:jc w:val="center"/>
    </w:pPr>
    <w:rPr>
      <w:b/>
      <w:sz w:val="28"/>
    </w:rPr>
  </w:style>
  <w:style w:type="character" w:customStyle="1" w:styleId="TitleChar">
    <w:name w:val="Title Char"/>
    <w:basedOn w:val="DefaultParagraphFont"/>
    <w:link w:val="Title"/>
    <w:rsid w:val="004D4A2E"/>
    <w:rPr>
      <w:rFonts w:ascii="Times New Roman" w:eastAsia="Times New Roman" w:hAnsi="Times New Roman" w:cs="Times New Roman"/>
      <w:b/>
      <w:sz w:val="28"/>
      <w:szCs w:val="20"/>
      <w:lang w:eastAsia="en-TT"/>
    </w:rPr>
  </w:style>
  <w:style w:type="paragraph" w:styleId="BalloonText">
    <w:name w:val="Balloon Text"/>
    <w:basedOn w:val="Normal"/>
    <w:link w:val="BalloonTextChar"/>
    <w:uiPriority w:val="99"/>
    <w:semiHidden/>
    <w:unhideWhenUsed/>
    <w:rsid w:val="004D4A2E"/>
    <w:rPr>
      <w:rFonts w:ascii="Tahoma" w:hAnsi="Tahoma" w:cs="Tahoma"/>
      <w:sz w:val="16"/>
      <w:szCs w:val="16"/>
    </w:rPr>
  </w:style>
  <w:style w:type="character" w:customStyle="1" w:styleId="BalloonTextChar">
    <w:name w:val="Balloon Text Char"/>
    <w:basedOn w:val="DefaultParagraphFont"/>
    <w:link w:val="BalloonText"/>
    <w:uiPriority w:val="99"/>
    <w:semiHidden/>
    <w:rsid w:val="004D4A2E"/>
    <w:rPr>
      <w:rFonts w:ascii="Tahoma" w:eastAsia="Times New Roman" w:hAnsi="Tahoma" w:cs="Tahoma"/>
      <w:sz w:val="16"/>
      <w:szCs w:val="16"/>
      <w:lang w:eastAsia="en-TT"/>
    </w:rPr>
  </w:style>
  <w:style w:type="paragraph" w:styleId="ListParagraph">
    <w:name w:val="List Paragraph"/>
    <w:basedOn w:val="Normal"/>
    <w:uiPriority w:val="34"/>
    <w:qFormat/>
    <w:rsid w:val="00767250"/>
    <w:pPr>
      <w:ind w:left="720"/>
    </w:pPr>
    <w:rPr>
      <w:rFonts w:eastAsiaTheme="minorHAnsi"/>
      <w:szCs w:val="24"/>
    </w:rPr>
  </w:style>
  <w:style w:type="character" w:styleId="FollowedHyperlink">
    <w:name w:val="FollowedHyperlink"/>
    <w:basedOn w:val="DefaultParagraphFont"/>
    <w:uiPriority w:val="99"/>
    <w:semiHidden/>
    <w:unhideWhenUsed/>
    <w:rsid w:val="00BB5FBB"/>
    <w:rPr>
      <w:color w:val="800080" w:themeColor="followedHyperlink"/>
      <w:u w:val="single"/>
    </w:rPr>
  </w:style>
  <w:style w:type="table" w:styleId="TableGrid">
    <w:name w:val="Table Grid"/>
    <w:basedOn w:val="TableNormal"/>
    <w:rsid w:val="00DD2912"/>
    <w:pPr>
      <w:spacing w:after="0" w:line="240" w:lineRule="auto"/>
    </w:pPr>
    <w:rPr>
      <w:rFonts w:ascii="Times New Roman" w:eastAsia="Times New Roman" w:hAnsi="Times New Roman" w:cs="Times New Roman"/>
      <w:sz w:val="20"/>
      <w:szCs w:val="20"/>
      <w:lang w:eastAsia="en-TT"/>
    </w:rPr>
    <w:tblP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
  </w:style>
  <w:style w:type="character" w:styleId="CommentReference">
    <w:name w:val="annotation reference"/>
    <w:basedOn w:val="DefaultParagraphFont"/>
    <w:uiPriority w:val="99"/>
    <w:semiHidden/>
    <w:unhideWhenUsed/>
    <w:rsid w:val="00BC6A91"/>
    <w:rPr>
      <w:sz w:val="16"/>
      <w:szCs w:val="16"/>
    </w:rPr>
  </w:style>
  <w:style w:type="paragraph" w:styleId="CommentText">
    <w:name w:val="annotation text"/>
    <w:basedOn w:val="Normal"/>
    <w:link w:val="CommentTextChar"/>
    <w:uiPriority w:val="99"/>
    <w:semiHidden/>
    <w:unhideWhenUsed/>
    <w:rsid w:val="00BC6A91"/>
    <w:rPr>
      <w:sz w:val="20"/>
    </w:rPr>
  </w:style>
  <w:style w:type="character" w:customStyle="1" w:styleId="CommentTextChar">
    <w:name w:val="Comment Text Char"/>
    <w:basedOn w:val="DefaultParagraphFont"/>
    <w:link w:val="CommentText"/>
    <w:uiPriority w:val="99"/>
    <w:semiHidden/>
    <w:rsid w:val="00BC6A91"/>
    <w:rPr>
      <w:rFonts w:ascii="Times New Roman" w:eastAsia="Times New Roman" w:hAnsi="Times New Roman" w:cs="Times New Roman"/>
      <w:sz w:val="20"/>
      <w:szCs w:val="20"/>
      <w:lang w:eastAsia="en-TT"/>
    </w:rPr>
  </w:style>
  <w:style w:type="paragraph" w:styleId="CommentSubject">
    <w:name w:val="annotation subject"/>
    <w:basedOn w:val="CommentText"/>
    <w:next w:val="CommentText"/>
    <w:link w:val="CommentSubjectChar"/>
    <w:unhideWhenUsed/>
    <w:rsid w:val="00BC6A91"/>
    <w:rPr>
      <w:b/>
      <w:bCs/>
    </w:rPr>
  </w:style>
  <w:style w:type="character" w:customStyle="1" w:styleId="CommentSubjectChar">
    <w:name w:val="Comment Subject Char"/>
    <w:basedOn w:val="CommentTextChar"/>
    <w:link w:val="CommentSubject"/>
    <w:rsid w:val="00BC6A91"/>
    <w:rPr>
      <w:rFonts w:ascii="Times New Roman" w:eastAsia="Times New Roman" w:hAnsi="Times New Roman" w:cs="Times New Roman"/>
      <w:b/>
      <w:bCs/>
      <w:sz w:val="20"/>
      <w:szCs w:val="20"/>
      <w:lang w:eastAsia="en-TT"/>
    </w:rPr>
  </w:style>
  <w:style w:type="paragraph" w:styleId="NoSpacing">
    <w:name w:val="No Spacing"/>
    <w:uiPriority w:val="1"/>
    <w:qFormat/>
    <w:rsid w:val="005479EC"/>
    <w:pPr>
      <w:spacing w:after="0" w:line="240" w:lineRule="auto"/>
    </w:pPr>
    <w:rPr>
      <w:rFonts w:ascii="Times New Roman" w:eastAsia="Times New Roman" w:hAnsi="Times New Roman" w:cs="Times New Roman"/>
      <w:sz w:val="24"/>
      <w:szCs w:val="20"/>
      <w:lang w:eastAsia="en-TT"/>
    </w:rPr>
  </w:style>
  <w:style w:type="paragraph" w:styleId="Header">
    <w:name w:val="header"/>
    <w:basedOn w:val="Normal"/>
    <w:link w:val="HeaderChar"/>
    <w:uiPriority w:val="99"/>
    <w:unhideWhenUsed/>
    <w:rsid w:val="00903F13"/>
    <w:pPr>
      <w:tabs>
        <w:tab w:val="center" w:pos="4680"/>
        <w:tab w:val="right" w:pos="9360"/>
      </w:tabs>
    </w:pPr>
  </w:style>
  <w:style w:type="character" w:customStyle="1" w:styleId="HeaderChar">
    <w:name w:val="Header Char"/>
    <w:basedOn w:val="DefaultParagraphFont"/>
    <w:link w:val="Header"/>
    <w:uiPriority w:val="99"/>
    <w:rsid w:val="00903F13"/>
    <w:rPr>
      <w:rFonts w:ascii="Times New Roman" w:eastAsia="Times New Roman" w:hAnsi="Times New Roman" w:cs="Times New Roman"/>
      <w:sz w:val="24"/>
      <w:szCs w:val="20"/>
      <w:lang w:eastAsia="en-TT"/>
    </w:rPr>
  </w:style>
  <w:style w:type="paragraph" w:styleId="Footer">
    <w:name w:val="footer"/>
    <w:basedOn w:val="Normal"/>
    <w:link w:val="FooterChar"/>
    <w:uiPriority w:val="99"/>
    <w:unhideWhenUsed/>
    <w:rsid w:val="00903F13"/>
    <w:pPr>
      <w:tabs>
        <w:tab w:val="center" w:pos="4680"/>
        <w:tab w:val="right" w:pos="9360"/>
      </w:tabs>
    </w:pPr>
  </w:style>
  <w:style w:type="character" w:customStyle="1" w:styleId="FooterChar">
    <w:name w:val="Footer Char"/>
    <w:basedOn w:val="DefaultParagraphFont"/>
    <w:link w:val="Footer"/>
    <w:uiPriority w:val="99"/>
    <w:rsid w:val="00903F13"/>
    <w:rPr>
      <w:rFonts w:ascii="Times New Roman" w:eastAsia="Times New Roman" w:hAnsi="Times New Roman" w:cs="Times New Roman"/>
      <w:sz w:val="24"/>
      <w:szCs w:val="20"/>
      <w:lang w:eastAsia="en-TT"/>
    </w:rPr>
  </w:style>
  <w:style w:type="paragraph" w:customStyle="1" w:styleId="Default">
    <w:name w:val="Default"/>
    <w:rsid w:val="00823F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2F0560"/>
    <w:rPr>
      <w:rFonts w:asciiTheme="majorHAnsi" w:eastAsiaTheme="majorEastAsia" w:hAnsiTheme="majorHAnsi" w:cstheme="majorBidi"/>
      <w:color w:val="243F60" w:themeColor="accent1" w:themeShade="7F"/>
      <w:sz w:val="24"/>
      <w:szCs w:val="24"/>
      <w:lang w:eastAsia="en-TT"/>
    </w:rPr>
  </w:style>
  <w:style w:type="paragraph" w:styleId="NormalWeb">
    <w:name w:val="Normal (Web)"/>
    <w:basedOn w:val="Normal"/>
    <w:rsid w:val="002F0560"/>
    <w:pPr>
      <w:spacing w:before="100" w:beforeAutospacing="1" w:after="100" w:afterAutospacing="1"/>
    </w:pPr>
    <w:rPr>
      <w:rFonts w:ascii="Arial Unicode MS" w:eastAsia="Arial Unicode MS" w:hAnsi="Arial Unicode MS" w:cs="Arial Unicode MS"/>
      <w:color w:val="000000"/>
      <w:szCs w:val="24"/>
      <w:lang w:val="en-US" w:eastAsia="en-US"/>
    </w:rPr>
  </w:style>
  <w:style w:type="character" w:customStyle="1" w:styleId="Heading1Char">
    <w:name w:val="Heading 1 Char"/>
    <w:basedOn w:val="DefaultParagraphFont"/>
    <w:link w:val="Heading1"/>
    <w:uiPriority w:val="9"/>
    <w:rsid w:val="008B6480"/>
    <w:rPr>
      <w:rFonts w:asciiTheme="majorHAnsi" w:eastAsiaTheme="majorEastAsia" w:hAnsiTheme="majorHAnsi" w:cstheme="majorBidi"/>
      <w:color w:val="365F91" w:themeColor="accent1" w:themeShade="BF"/>
      <w:sz w:val="32"/>
      <w:szCs w:val="32"/>
      <w:lang w:eastAsia="en-TT"/>
    </w:rPr>
  </w:style>
  <w:style w:type="table" w:customStyle="1" w:styleId="TableGrid0">
    <w:name w:val="TableGrid"/>
    <w:rsid w:val="008B6480"/>
    <w:pPr>
      <w:spacing w:after="0" w:line="240" w:lineRule="auto"/>
    </w:pPr>
    <w:rPr>
      <w:rFonts w:eastAsia="Times New Roman"/>
      <w:lang w:eastAsia="en-TT"/>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532DB6"/>
    <w:pPr>
      <w:spacing w:after="120"/>
    </w:pPr>
  </w:style>
  <w:style w:type="character" w:customStyle="1" w:styleId="BodyTextChar">
    <w:name w:val="Body Text Char"/>
    <w:basedOn w:val="DefaultParagraphFont"/>
    <w:link w:val="BodyText"/>
    <w:uiPriority w:val="99"/>
    <w:semiHidden/>
    <w:rsid w:val="00532DB6"/>
    <w:rPr>
      <w:rFonts w:ascii="Times New Roman" w:eastAsia="Times New Roman" w:hAnsi="Times New Roman" w:cs="Times New Roman"/>
      <w:sz w:val="24"/>
      <w:szCs w:val="20"/>
      <w:lang w:eastAsia="en-TT"/>
    </w:rPr>
  </w:style>
  <w:style w:type="character" w:styleId="PageNumber">
    <w:name w:val="page number"/>
    <w:basedOn w:val="DefaultParagraphFont"/>
    <w:rsid w:val="0084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19095">
      <w:bodyDiv w:val="1"/>
      <w:marLeft w:val="0"/>
      <w:marRight w:val="0"/>
      <w:marTop w:val="0"/>
      <w:marBottom w:val="0"/>
      <w:divBdr>
        <w:top w:val="none" w:sz="0" w:space="0" w:color="auto"/>
        <w:left w:val="none" w:sz="0" w:space="0" w:color="auto"/>
        <w:bottom w:val="none" w:sz="0" w:space="0" w:color="auto"/>
        <w:right w:val="none" w:sz="0" w:space="0" w:color="auto"/>
      </w:divBdr>
    </w:div>
    <w:div w:id="578058891">
      <w:bodyDiv w:val="1"/>
      <w:marLeft w:val="0"/>
      <w:marRight w:val="0"/>
      <w:marTop w:val="0"/>
      <w:marBottom w:val="0"/>
      <w:divBdr>
        <w:top w:val="none" w:sz="0" w:space="0" w:color="auto"/>
        <w:left w:val="none" w:sz="0" w:space="0" w:color="auto"/>
        <w:bottom w:val="none" w:sz="0" w:space="0" w:color="auto"/>
        <w:right w:val="none" w:sz="0" w:space="0" w:color="auto"/>
      </w:divBdr>
    </w:div>
    <w:div w:id="1496074258">
      <w:bodyDiv w:val="1"/>
      <w:marLeft w:val="0"/>
      <w:marRight w:val="0"/>
      <w:marTop w:val="0"/>
      <w:marBottom w:val="0"/>
      <w:divBdr>
        <w:top w:val="none" w:sz="0" w:space="0" w:color="auto"/>
        <w:left w:val="none" w:sz="0" w:space="0" w:color="auto"/>
        <w:bottom w:val="none" w:sz="0" w:space="0" w:color="auto"/>
        <w:right w:val="none" w:sz="0" w:space="0" w:color="auto"/>
      </w:divBdr>
    </w:div>
    <w:div w:id="1804538563">
      <w:bodyDiv w:val="1"/>
      <w:marLeft w:val="0"/>
      <w:marRight w:val="0"/>
      <w:marTop w:val="0"/>
      <w:marBottom w:val="0"/>
      <w:divBdr>
        <w:top w:val="none" w:sz="0" w:space="0" w:color="auto"/>
        <w:left w:val="none" w:sz="0" w:space="0" w:color="auto"/>
        <w:bottom w:val="none" w:sz="0" w:space="0" w:color="auto"/>
        <w:right w:val="none" w:sz="0" w:space="0" w:color="auto"/>
      </w:divBdr>
    </w:div>
    <w:div w:id="1810046990">
      <w:bodyDiv w:val="1"/>
      <w:marLeft w:val="0"/>
      <w:marRight w:val="0"/>
      <w:marTop w:val="0"/>
      <w:marBottom w:val="0"/>
      <w:divBdr>
        <w:top w:val="none" w:sz="0" w:space="0" w:color="auto"/>
        <w:left w:val="none" w:sz="0" w:space="0" w:color="auto"/>
        <w:bottom w:val="none" w:sz="0" w:space="0" w:color="auto"/>
        <w:right w:val="none" w:sz="0" w:space="0" w:color="auto"/>
      </w:divBdr>
    </w:div>
    <w:div w:id="2086223408">
      <w:bodyDiv w:val="1"/>
      <w:marLeft w:val="0"/>
      <w:marRight w:val="0"/>
      <w:marTop w:val="0"/>
      <w:marBottom w:val="0"/>
      <w:divBdr>
        <w:top w:val="none" w:sz="0" w:space="0" w:color="auto"/>
        <w:left w:val="none" w:sz="0" w:space="0" w:color="auto"/>
        <w:bottom w:val="none" w:sz="0" w:space="0" w:color="auto"/>
        <w:right w:val="none" w:sz="0" w:space="0" w:color="auto"/>
      </w:divBdr>
    </w:div>
    <w:div w:id="21060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ies@ttsec.org.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8FE4-4BBC-4F37-87D1-AFEEC940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835</Words>
  <Characters>4761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Moore</dc:creator>
  <cp:lastModifiedBy>Natalie Millington-Walters</cp:lastModifiedBy>
  <cp:revision>2</cp:revision>
  <cp:lastPrinted>2021-02-16T14:50:00Z</cp:lastPrinted>
  <dcterms:created xsi:type="dcterms:W3CDTF">2025-06-12T13:42:00Z</dcterms:created>
  <dcterms:modified xsi:type="dcterms:W3CDTF">2025-06-12T13:42:00Z</dcterms:modified>
</cp:coreProperties>
</file>